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EDDD8D" w14:textId="77777777" w:rsidR="00992F4C" w:rsidRDefault="00992F4C" w:rsidP="00992F4C">
      <w:pPr>
        <w:spacing w:before="240" w:line="240" w:lineRule="auto"/>
        <w:jc w:val="center"/>
        <w:rPr>
          <w:rFonts w:ascii="Times New Roman" w:hAnsi="Times New Roman" w:cs="Times New Roman"/>
          <w:b/>
          <w:bCs/>
          <w:sz w:val="24"/>
          <w:szCs w:val="24"/>
          <w:lang w:val="es-ES"/>
        </w:rPr>
      </w:pPr>
      <w:r w:rsidRPr="00992F4C">
        <w:rPr>
          <w:rFonts w:ascii="Times New Roman" w:hAnsi="Times New Roman" w:cs="Times New Roman"/>
          <w:b/>
          <w:bCs/>
          <w:sz w:val="24"/>
          <w:szCs w:val="24"/>
          <w:lang w:val="es-ES"/>
        </w:rPr>
        <w:t xml:space="preserve">Análisis técnico y fundamental de las </w:t>
      </w:r>
      <w:r>
        <w:rPr>
          <w:rFonts w:ascii="Times New Roman" w:hAnsi="Times New Roman" w:cs="Times New Roman"/>
          <w:b/>
          <w:bCs/>
          <w:sz w:val="24"/>
          <w:szCs w:val="24"/>
          <w:lang w:val="es-ES"/>
        </w:rPr>
        <w:t>A</w:t>
      </w:r>
      <w:r w:rsidRPr="00992F4C">
        <w:rPr>
          <w:rFonts w:ascii="Times New Roman" w:hAnsi="Times New Roman" w:cs="Times New Roman"/>
          <w:b/>
          <w:bCs/>
          <w:sz w:val="24"/>
          <w:szCs w:val="24"/>
          <w:lang w:val="es-ES"/>
        </w:rPr>
        <w:t xml:space="preserve">merican </w:t>
      </w:r>
      <w:r>
        <w:rPr>
          <w:rFonts w:ascii="Times New Roman" w:hAnsi="Times New Roman" w:cs="Times New Roman"/>
          <w:b/>
          <w:bCs/>
          <w:sz w:val="24"/>
          <w:szCs w:val="24"/>
          <w:lang w:val="es-ES"/>
        </w:rPr>
        <w:t>D</w:t>
      </w:r>
      <w:r w:rsidRPr="00992F4C">
        <w:rPr>
          <w:rFonts w:ascii="Times New Roman" w:hAnsi="Times New Roman" w:cs="Times New Roman"/>
          <w:b/>
          <w:bCs/>
          <w:sz w:val="24"/>
          <w:szCs w:val="24"/>
          <w:lang w:val="es-ES"/>
        </w:rPr>
        <w:t xml:space="preserve">epositary </w:t>
      </w:r>
      <w:r>
        <w:rPr>
          <w:rFonts w:ascii="Times New Roman" w:hAnsi="Times New Roman" w:cs="Times New Roman"/>
          <w:b/>
          <w:bCs/>
          <w:sz w:val="24"/>
          <w:szCs w:val="24"/>
          <w:lang w:val="es-ES"/>
        </w:rPr>
        <w:t>R</w:t>
      </w:r>
      <w:r w:rsidRPr="00992F4C">
        <w:rPr>
          <w:rFonts w:ascii="Times New Roman" w:hAnsi="Times New Roman" w:cs="Times New Roman"/>
          <w:b/>
          <w:bCs/>
          <w:sz w:val="24"/>
          <w:szCs w:val="24"/>
          <w:lang w:val="es-ES"/>
        </w:rPr>
        <w:t>eceipt (</w:t>
      </w:r>
      <w:r>
        <w:rPr>
          <w:rFonts w:ascii="Times New Roman" w:hAnsi="Times New Roman" w:cs="Times New Roman"/>
          <w:b/>
          <w:bCs/>
          <w:sz w:val="24"/>
          <w:szCs w:val="24"/>
          <w:lang w:val="es-ES"/>
        </w:rPr>
        <w:t>ADR</w:t>
      </w:r>
      <w:r w:rsidRPr="00992F4C">
        <w:rPr>
          <w:rFonts w:ascii="Times New Roman" w:hAnsi="Times New Roman" w:cs="Times New Roman"/>
          <w:b/>
          <w:bCs/>
          <w:sz w:val="24"/>
          <w:szCs w:val="24"/>
          <w:lang w:val="es-ES"/>
        </w:rPr>
        <w:t xml:space="preserve">) colombianas en </w:t>
      </w:r>
      <w:r>
        <w:rPr>
          <w:rFonts w:ascii="Times New Roman" w:hAnsi="Times New Roman" w:cs="Times New Roman"/>
          <w:b/>
          <w:bCs/>
          <w:sz w:val="24"/>
          <w:szCs w:val="24"/>
          <w:lang w:val="es-ES"/>
        </w:rPr>
        <w:t>NYSE</w:t>
      </w:r>
      <w:r w:rsidRPr="00992F4C">
        <w:rPr>
          <w:rFonts w:ascii="Times New Roman" w:hAnsi="Times New Roman" w:cs="Times New Roman"/>
          <w:b/>
          <w:bCs/>
          <w:sz w:val="24"/>
          <w:szCs w:val="24"/>
          <w:lang w:val="es-ES"/>
        </w:rPr>
        <w:t xml:space="preserve"> durante el periodo 2015-2021.</w:t>
      </w:r>
    </w:p>
    <w:p w14:paraId="12596256" w14:textId="77777777" w:rsidR="00333E67" w:rsidRDefault="00333E67" w:rsidP="003D6253">
      <w:pPr>
        <w:spacing w:before="240" w:line="240" w:lineRule="auto"/>
        <w:ind w:firstLine="720"/>
        <w:jc w:val="center"/>
        <w:rPr>
          <w:rFonts w:ascii="Times New Roman" w:hAnsi="Times New Roman" w:cs="Times New Roman"/>
          <w:b/>
          <w:bCs/>
          <w:sz w:val="24"/>
          <w:szCs w:val="24"/>
          <w:lang w:val="es-ES"/>
        </w:rPr>
      </w:pPr>
      <w:r>
        <w:rPr>
          <w:rFonts w:ascii="Times New Roman" w:hAnsi="Times New Roman" w:cs="Times New Roman"/>
          <w:b/>
          <w:bCs/>
          <w:sz w:val="24"/>
          <w:szCs w:val="24"/>
          <w:lang w:val="es-ES"/>
        </w:rPr>
        <w:t>Resumen</w:t>
      </w:r>
    </w:p>
    <w:p w14:paraId="0A1E3751" w14:textId="33AF3F79" w:rsidR="00992F4C" w:rsidRDefault="00333E67" w:rsidP="00333E67">
      <w:pPr>
        <w:spacing w:before="240" w:line="240" w:lineRule="auto"/>
        <w:ind w:firstLine="720"/>
        <w:rPr>
          <w:rFonts w:ascii="Times New Roman" w:hAnsi="Times New Roman" w:cs="Times New Roman"/>
          <w:sz w:val="24"/>
          <w:szCs w:val="24"/>
          <w:lang w:val="es-ES"/>
        </w:rPr>
      </w:pPr>
      <w:r>
        <w:rPr>
          <w:rFonts w:ascii="Times New Roman" w:hAnsi="Times New Roman" w:cs="Times New Roman"/>
          <w:sz w:val="24"/>
          <w:szCs w:val="24"/>
          <w:lang w:val="es-ES"/>
        </w:rPr>
        <w:t>El present</w:t>
      </w:r>
      <w:r w:rsidR="005D0A05">
        <w:rPr>
          <w:rFonts w:ascii="Times New Roman" w:hAnsi="Times New Roman" w:cs="Times New Roman"/>
          <w:sz w:val="24"/>
          <w:szCs w:val="24"/>
          <w:lang w:val="es-ES"/>
        </w:rPr>
        <w:t>e</w:t>
      </w:r>
      <w:r>
        <w:rPr>
          <w:rFonts w:ascii="Times New Roman" w:hAnsi="Times New Roman" w:cs="Times New Roman"/>
          <w:sz w:val="24"/>
          <w:szCs w:val="24"/>
          <w:lang w:val="es-ES"/>
        </w:rPr>
        <w:t xml:space="preserve"> art</w:t>
      </w:r>
      <w:r w:rsidR="00931E62">
        <w:rPr>
          <w:rFonts w:ascii="Times New Roman" w:hAnsi="Times New Roman" w:cs="Times New Roman"/>
          <w:sz w:val="24"/>
          <w:szCs w:val="24"/>
          <w:lang w:val="es-ES"/>
        </w:rPr>
        <w:t>í</w:t>
      </w:r>
      <w:r>
        <w:rPr>
          <w:rFonts w:ascii="Times New Roman" w:hAnsi="Times New Roman" w:cs="Times New Roman"/>
          <w:sz w:val="24"/>
          <w:szCs w:val="24"/>
          <w:lang w:val="es-ES"/>
        </w:rPr>
        <w:t>culo tiene como objetivo analizar</w:t>
      </w:r>
      <w:r w:rsidRPr="00F01597">
        <w:rPr>
          <w:rFonts w:ascii="Times New Roman" w:hAnsi="Times New Roman" w:cs="Times New Roman"/>
          <w:sz w:val="24"/>
          <w:szCs w:val="24"/>
          <w:lang w:val="es-ES"/>
        </w:rPr>
        <w:t xml:space="preserve"> la evolución de las ADR´s colombianas que cotizan en NYSE en el periodo 2015-2021, mediante un</w:t>
      </w:r>
      <w:r>
        <w:rPr>
          <w:rFonts w:ascii="Times New Roman" w:hAnsi="Times New Roman" w:cs="Times New Roman"/>
          <w:sz w:val="24"/>
          <w:szCs w:val="24"/>
          <w:lang w:val="es-ES"/>
        </w:rPr>
        <w:t xml:space="preserve">a revisión de información </w:t>
      </w:r>
      <w:r w:rsidRPr="00F01597">
        <w:rPr>
          <w:rFonts w:ascii="Times New Roman" w:hAnsi="Times New Roman" w:cs="Times New Roman"/>
          <w:sz w:val="24"/>
          <w:szCs w:val="24"/>
          <w:lang w:val="es-ES"/>
        </w:rPr>
        <w:t>cuantitativ</w:t>
      </w:r>
      <w:r>
        <w:rPr>
          <w:rFonts w:ascii="Times New Roman" w:hAnsi="Times New Roman" w:cs="Times New Roman"/>
          <w:sz w:val="24"/>
          <w:szCs w:val="24"/>
          <w:lang w:val="es-ES"/>
        </w:rPr>
        <w:t>a</w:t>
      </w:r>
      <w:r w:rsidRPr="00F01597">
        <w:rPr>
          <w:rFonts w:ascii="Times New Roman" w:hAnsi="Times New Roman" w:cs="Times New Roman"/>
          <w:sz w:val="24"/>
          <w:szCs w:val="24"/>
          <w:lang w:val="es-ES"/>
        </w:rPr>
        <w:t xml:space="preserve"> y cualitativ</w:t>
      </w:r>
      <w:r>
        <w:rPr>
          <w:rFonts w:ascii="Times New Roman" w:hAnsi="Times New Roman" w:cs="Times New Roman"/>
          <w:sz w:val="24"/>
          <w:szCs w:val="24"/>
          <w:lang w:val="es-ES"/>
        </w:rPr>
        <w:t>a</w:t>
      </w:r>
      <w:r w:rsidRPr="00F01597">
        <w:rPr>
          <w:rFonts w:ascii="Times New Roman" w:hAnsi="Times New Roman" w:cs="Times New Roman"/>
          <w:sz w:val="24"/>
          <w:szCs w:val="24"/>
          <w:lang w:val="es-ES"/>
        </w:rPr>
        <w:t xml:space="preserve"> </w:t>
      </w:r>
      <w:r>
        <w:rPr>
          <w:rFonts w:ascii="Times New Roman" w:hAnsi="Times New Roman" w:cs="Times New Roman"/>
          <w:sz w:val="24"/>
          <w:szCs w:val="24"/>
          <w:lang w:val="es-ES"/>
        </w:rPr>
        <w:t>que permita conocer</w:t>
      </w:r>
      <w:r w:rsidRPr="00F01597">
        <w:rPr>
          <w:rFonts w:ascii="Times New Roman" w:hAnsi="Times New Roman" w:cs="Times New Roman"/>
          <w:sz w:val="24"/>
          <w:szCs w:val="24"/>
          <w:lang w:val="es-ES"/>
        </w:rPr>
        <w:t xml:space="preserve"> el comportamiento de dichas empresas.</w:t>
      </w:r>
      <w:r>
        <w:rPr>
          <w:rFonts w:ascii="Times New Roman" w:hAnsi="Times New Roman" w:cs="Times New Roman"/>
          <w:sz w:val="24"/>
          <w:szCs w:val="24"/>
          <w:lang w:val="es-ES"/>
        </w:rPr>
        <w:t xml:space="preserve"> Para llevar a cabo el estudio fue necesario emplear una metodología mixta donde se </w:t>
      </w:r>
      <w:r w:rsidR="00992F4C">
        <w:rPr>
          <w:rFonts w:ascii="Times New Roman" w:hAnsi="Times New Roman" w:cs="Times New Roman"/>
          <w:sz w:val="24"/>
          <w:szCs w:val="24"/>
          <w:lang w:val="es-ES"/>
        </w:rPr>
        <w:t xml:space="preserve">realiza un análisis bibliométrico asociado a la temática, mediante la revisión de documentos contenidos en la base de datos Google Scholar. Igualmente, el análisis cuantitativo se llevo a cabo en el programa Python, en el cual se introdujo información descargada de la plataforma investing.com. finalmente, los resultados del estudio señalan que algunos de los elementos que influyen en la aversión al riesgo de las empresas radican en aspectos </w:t>
      </w:r>
      <w:r w:rsidR="00992F4C" w:rsidRPr="00992F4C">
        <w:rPr>
          <w:rFonts w:ascii="Times New Roman" w:hAnsi="Times New Roman" w:cs="Times New Roman"/>
          <w:sz w:val="24"/>
          <w:szCs w:val="24"/>
          <w:lang w:val="es-ES"/>
        </w:rPr>
        <w:t>microeconómicos</w:t>
      </w:r>
      <w:r w:rsidR="00992F4C">
        <w:rPr>
          <w:rFonts w:ascii="Times New Roman" w:hAnsi="Times New Roman" w:cs="Times New Roman"/>
          <w:sz w:val="24"/>
          <w:szCs w:val="24"/>
          <w:lang w:val="es-ES"/>
        </w:rPr>
        <w:t xml:space="preserve"> y macroeconómicos que afectan a los países emergentes como Colombia, así como también se evidenció que una coyuntura que afectó el precio de las acciones en las organizaciones analizadas fue el periodo de pandemia, puesto que el mismo implico la caída significativa del precio de las acciones.</w:t>
      </w:r>
    </w:p>
    <w:p w14:paraId="443CC923" w14:textId="77777777" w:rsidR="00333E67" w:rsidRDefault="00992F4C" w:rsidP="00333E67">
      <w:pPr>
        <w:spacing w:before="240" w:line="240" w:lineRule="auto"/>
        <w:ind w:firstLine="720"/>
        <w:rPr>
          <w:rFonts w:ascii="Times New Roman" w:hAnsi="Times New Roman" w:cs="Times New Roman"/>
          <w:sz w:val="24"/>
          <w:szCs w:val="24"/>
          <w:lang w:val="es-ES"/>
        </w:rPr>
      </w:pPr>
      <w:r w:rsidRPr="00992F4C">
        <w:rPr>
          <w:rFonts w:ascii="Times New Roman" w:hAnsi="Times New Roman" w:cs="Times New Roman"/>
          <w:b/>
          <w:bCs/>
          <w:sz w:val="24"/>
          <w:szCs w:val="24"/>
          <w:lang w:val="es-ES"/>
        </w:rPr>
        <w:t>Palabras clave:</w:t>
      </w:r>
      <w:r>
        <w:rPr>
          <w:rFonts w:ascii="Times New Roman" w:hAnsi="Times New Roman" w:cs="Times New Roman"/>
          <w:sz w:val="24"/>
          <w:szCs w:val="24"/>
          <w:lang w:val="es-ES"/>
        </w:rPr>
        <w:t xml:space="preserve"> ADR’s, NYSE, acciones.</w:t>
      </w:r>
    </w:p>
    <w:p w14:paraId="6AFD0BB8" w14:textId="77777777" w:rsidR="00992F4C" w:rsidRPr="00992F4C" w:rsidRDefault="00992F4C" w:rsidP="00992F4C">
      <w:pPr>
        <w:spacing w:before="240" w:line="240" w:lineRule="auto"/>
        <w:jc w:val="center"/>
        <w:rPr>
          <w:rFonts w:ascii="Times New Roman" w:hAnsi="Times New Roman" w:cs="Times New Roman"/>
          <w:b/>
          <w:bCs/>
          <w:sz w:val="24"/>
          <w:szCs w:val="24"/>
          <w:lang w:val="es-ES"/>
        </w:rPr>
      </w:pPr>
      <w:r w:rsidRPr="00992F4C">
        <w:rPr>
          <w:rFonts w:ascii="Times New Roman" w:hAnsi="Times New Roman" w:cs="Times New Roman"/>
          <w:b/>
          <w:bCs/>
          <w:sz w:val="24"/>
          <w:szCs w:val="24"/>
          <w:lang w:val="es-ES"/>
        </w:rPr>
        <w:t>Abstract</w:t>
      </w:r>
    </w:p>
    <w:p w14:paraId="08B7810B" w14:textId="77777777" w:rsidR="00992F4C" w:rsidRPr="00992F4C" w:rsidRDefault="00992F4C" w:rsidP="00992F4C">
      <w:pPr>
        <w:spacing w:before="240" w:line="240" w:lineRule="auto"/>
        <w:ind w:firstLine="720"/>
        <w:rPr>
          <w:rFonts w:ascii="Times New Roman" w:hAnsi="Times New Roman" w:cs="Times New Roman"/>
          <w:sz w:val="24"/>
          <w:szCs w:val="24"/>
          <w:lang w:val="es-ES"/>
        </w:rPr>
      </w:pPr>
      <w:proofErr w:type="spellStart"/>
      <w:r w:rsidRPr="00992F4C">
        <w:rPr>
          <w:rFonts w:ascii="Times New Roman" w:hAnsi="Times New Roman" w:cs="Times New Roman"/>
          <w:sz w:val="24"/>
          <w:szCs w:val="24"/>
          <w:lang w:val="es-ES"/>
        </w:rPr>
        <w:t>The</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objective</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of</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this</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article</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is</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to</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analyze</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the</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evolution</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of</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Colombian</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ADRs</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listed</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on</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the</w:t>
      </w:r>
      <w:proofErr w:type="spellEnd"/>
      <w:r w:rsidRPr="00992F4C">
        <w:rPr>
          <w:rFonts w:ascii="Times New Roman" w:hAnsi="Times New Roman" w:cs="Times New Roman"/>
          <w:sz w:val="24"/>
          <w:szCs w:val="24"/>
          <w:lang w:val="es-ES"/>
        </w:rPr>
        <w:t xml:space="preserve"> NYSE in </w:t>
      </w:r>
      <w:proofErr w:type="spellStart"/>
      <w:r w:rsidRPr="00992F4C">
        <w:rPr>
          <w:rFonts w:ascii="Times New Roman" w:hAnsi="Times New Roman" w:cs="Times New Roman"/>
          <w:sz w:val="24"/>
          <w:szCs w:val="24"/>
          <w:lang w:val="es-ES"/>
        </w:rPr>
        <w:t>the</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period</w:t>
      </w:r>
      <w:proofErr w:type="spellEnd"/>
      <w:r w:rsidRPr="00992F4C">
        <w:rPr>
          <w:rFonts w:ascii="Times New Roman" w:hAnsi="Times New Roman" w:cs="Times New Roman"/>
          <w:sz w:val="24"/>
          <w:szCs w:val="24"/>
          <w:lang w:val="es-ES"/>
        </w:rPr>
        <w:t xml:space="preserve"> 2015-2021, </w:t>
      </w:r>
      <w:proofErr w:type="spellStart"/>
      <w:r w:rsidRPr="00992F4C">
        <w:rPr>
          <w:rFonts w:ascii="Times New Roman" w:hAnsi="Times New Roman" w:cs="Times New Roman"/>
          <w:sz w:val="24"/>
          <w:szCs w:val="24"/>
          <w:lang w:val="es-ES"/>
        </w:rPr>
        <w:t>through</w:t>
      </w:r>
      <w:proofErr w:type="spellEnd"/>
      <w:r w:rsidRPr="00992F4C">
        <w:rPr>
          <w:rFonts w:ascii="Times New Roman" w:hAnsi="Times New Roman" w:cs="Times New Roman"/>
          <w:sz w:val="24"/>
          <w:szCs w:val="24"/>
          <w:lang w:val="es-ES"/>
        </w:rPr>
        <w:t xml:space="preserve"> a </w:t>
      </w:r>
      <w:proofErr w:type="spellStart"/>
      <w:r w:rsidRPr="00992F4C">
        <w:rPr>
          <w:rFonts w:ascii="Times New Roman" w:hAnsi="Times New Roman" w:cs="Times New Roman"/>
          <w:sz w:val="24"/>
          <w:szCs w:val="24"/>
          <w:lang w:val="es-ES"/>
        </w:rPr>
        <w:t>review</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of</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quantitative</w:t>
      </w:r>
      <w:proofErr w:type="spellEnd"/>
      <w:r w:rsidRPr="00992F4C">
        <w:rPr>
          <w:rFonts w:ascii="Times New Roman" w:hAnsi="Times New Roman" w:cs="Times New Roman"/>
          <w:sz w:val="24"/>
          <w:szCs w:val="24"/>
          <w:lang w:val="es-ES"/>
        </w:rPr>
        <w:t xml:space="preserve"> and </w:t>
      </w:r>
      <w:proofErr w:type="spellStart"/>
      <w:r w:rsidRPr="00992F4C">
        <w:rPr>
          <w:rFonts w:ascii="Times New Roman" w:hAnsi="Times New Roman" w:cs="Times New Roman"/>
          <w:sz w:val="24"/>
          <w:szCs w:val="24"/>
          <w:lang w:val="es-ES"/>
        </w:rPr>
        <w:t>qualitative</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information</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that</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allows</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knowing</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the</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behavior</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of</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said</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companies</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To</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carry</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out</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the</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study</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it</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was</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necessary</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to</w:t>
      </w:r>
      <w:proofErr w:type="spellEnd"/>
      <w:r w:rsidRPr="00992F4C">
        <w:rPr>
          <w:rFonts w:ascii="Times New Roman" w:hAnsi="Times New Roman" w:cs="Times New Roman"/>
          <w:sz w:val="24"/>
          <w:szCs w:val="24"/>
          <w:lang w:val="es-ES"/>
        </w:rPr>
        <w:t xml:space="preserve"> use a </w:t>
      </w:r>
      <w:proofErr w:type="spellStart"/>
      <w:r w:rsidRPr="00992F4C">
        <w:rPr>
          <w:rFonts w:ascii="Times New Roman" w:hAnsi="Times New Roman" w:cs="Times New Roman"/>
          <w:sz w:val="24"/>
          <w:szCs w:val="24"/>
          <w:lang w:val="es-ES"/>
        </w:rPr>
        <w:t>mixed</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methodology</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where</w:t>
      </w:r>
      <w:proofErr w:type="spellEnd"/>
      <w:r w:rsidRPr="00992F4C">
        <w:rPr>
          <w:rFonts w:ascii="Times New Roman" w:hAnsi="Times New Roman" w:cs="Times New Roman"/>
          <w:sz w:val="24"/>
          <w:szCs w:val="24"/>
          <w:lang w:val="es-ES"/>
        </w:rPr>
        <w:t xml:space="preserve"> a </w:t>
      </w:r>
      <w:proofErr w:type="spellStart"/>
      <w:r w:rsidRPr="00992F4C">
        <w:rPr>
          <w:rFonts w:ascii="Times New Roman" w:hAnsi="Times New Roman" w:cs="Times New Roman"/>
          <w:sz w:val="24"/>
          <w:szCs w:val="24"/>
          <w:lang w:val="es-ES"/>
        </w:rPr>
        <w:t>bibliometric</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analysis</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associated</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with</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the</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subject</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is</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carried</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out</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by</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reviewing</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documents</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contained</w:t>
      </w:r>
      <w:proofErr w:type="spellEnd"/>
      <w:r w:rsidRPr="00992F4C">
        <w:rPr>
          <w:rFonts w:ascii="Times New Roman" w:hAnsi="Times New Roman" w:cs="Times New Roman"/>
          <w:sz w:val="24"/>
          <w:szCs w:val="24"/>
          <w:lang w:val="es-ES"/>
        </w:rPr>
        <w:t xml:space="preserve"> in </w:t>
      </w:r>
      <w:proofErr w:type="spellStart"/>
      <w:r w:rsidRPr="00992F4C">
        <w:rPr>
          <w:rFonts w:ascii="Times New Roman" w:hAnsi="Times New Roman" w:cs="Times New Roman"/>
          <w:sz w:val="24"/>
          <w:szCs w:val="24"/>
          <w:lang w:val="es-ES"/>
        </w:rPr>
        <w:t>the</w:t>
      </w:r>
      <w:proofErr w:type="spellEnd"/>
      <w:r w:rsidRPr="00992F4C">
        <w:rPr>
          <w:rFonts w:ascii="Times New Roman" w:hAnsi="Times New Roman" w:cs="Times New Roman"/>
          <w:sz w:val="24"/>
          <w:szCs w:val="24"/>
          <w:lang w:val="es-ES"/>
        </w:rPr>
        <w:t xml:space="preserve"> Google Scholar </w:t>
      </w:r>
      <w:proofErr w:type="spellStart"/>
      <w:r w:rsidRPr="00992F4C">
        <w:rPr>
          <w:rFonts w:ascii="Times New Roman" w:hAnsi="Times New Roman" w:cs="Times New Roman"/>
          <w:sz w:val="24"/>
          <w:szCs w:val="24"/>
          <w:lang w:val="es-ES"/>
        </w:rPr>
        <w:t>database</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Likewise</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the</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quantitative</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analysis</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was</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carried</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out</w:t>
      </w:r>
      <w:proofErr w:type="spellEnd"/>
      <w:r w:rsidRPr="00992F4C">
        <w:rPr>
          <w:rFonts w:ascii="Times New Roman" w:hAnsi="Times New Roman" w:cs="Times New Roman"/>
          <w:sz w:val="24"/>
          <w:szCs w:val="24"/>
          <w:lang w:val="es-ES"/>
        </w:rPr>
        <w:t xml:space="preserve"> in </w:t>
      </w:r>
      <w:proofErr w:type="spellStart"/>
      <w:r w:rsidRPr="00992F4C">
        <w:rPr>
          <w:rFonts w:ascii="Times New Roman" w:hAnsi="Times New Roman" w:cs="Times New Roman"/>
          <w:sz w:val="24"/>
          <w:szCs w:val="24"/>
          <w:lang w:val="es-ES"/>
        </w:rPr>
        <w:t>the</w:t>
      </w:r>
      <w:proofErr w:type="spellEnd"/>
      <w:r w:rsidRPr="00992F4C">
        <w:rPr>
          <w:rFonts w:ascii="Times New Roman" w:hAnsi="Times New Roman" w:cs="Times New Roman"/>
          <w:sz w:val="24"/>
          <w:szCs w:val="24"/>
          <w:lang w:val="es-ES"/>
        </w:rPr>
        <w:t xml:space="preserve"> Python </w:t>
      </w:r>
      <w:proofErr w:type="spellStart"/>
      <w:r w:rsidRPr="00992F4C">
        <w:rPr>
          <w:rFonts w:ascii="Times New Roman" w:hAnsi="Times New Roman" w:cs="Times New Roman"/>
          <w:sz w:val="24"/>
          <w:szCs w:val="24"/>
          <w:lang w:val="es-ES"/>
        </w:rPr>
        <w:t>program</w:t>
      </w:r>
      <w:proofErr w:type="spellEnd"/>
      <w:r w:rsidRPr="00992F4C">
        <w:rPr>
          <w:rFonts w:ascii="Times New Roman" w:hAnsi="Times New Roman" w:cs="Times New Roman"/>
          <w:sz w:val="24"/>
          <w:szCs w:val="24"/>
          <w:lang w:val="es-ES"/>
        </w:rPr>
        <w:t xml:space="preserve">, in </w:t>
      </w:r>
      <w:proofErr w:type="spellStart"/>
      <w:r w:rsidRPr="00992F4C">
        <w:rPr>
          <w:rFonts w:ascii="Times New Roman" w:hAnsi="Times New Roman" w:cs="Times New Roman"/>
          <w:sz w:val="24"/>
          <w:szCs w:val="24"/>
          <w:lang w:val="es-ES"/>
        </w:rPr>
        <w:t>which</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information</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downloaded</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from</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the</w:t>
      </w:r>
      <w:proofErr w:type="spellEnd"/>
      <w:r w:rsidRPr="00992F4C">
        <w:rPr>
          <w:rFonts w:ascii="Times New Roman" w:hAnsi="Times New Roman" w:cs="Times New Roman"/>
          <w:sz w:val="24"/>
          <w:szCs w:val="24"/>
          <w:lang w:val="es-ES"/>
        </w:rPr>
        <w:t xml:space="preserve"> investing.com </w:t>
      </w:r>
      <w:proofErr w:type="spellStart"/>
      <w:r w:rsidRPr="00992F4C">
        <w:rPr>
          <w:rFonts w:ascii="Times New Roman" w:hAnsi="Times New Roman" w:cs="Times New Roman"/>
          <w:sz w:val="24"/>
          <w:szCs w:val="24"/>
          <w:lang w:val="es-ES"/>
        </w:rPr>
        <w:t>platform</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was</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introduced</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Finally</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the</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results</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of</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the</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study</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indicate</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that</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some</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of</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the</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elements</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that</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influence</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the</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risk</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aversion</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of</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companies</w:t>
      </w:r>
      <w:proofErr w:type="spellEnd"/>
      <w:r w:rsidRPr="00992F4C">
        <w:rPr>
          <w:rFonts w:ascii="Times New Roman" w:hAnsi="Times New Roman" w:cs="Times New Roman"/>
          <w:sz w:val="24"/>
          <w:szCs w:val="24"/>
          <w:lang w:val="es-ES"/>
        </w:rPr>
        <w:t xml:space="preserve"> lie in </w:t>
      </w:r>
      <w:proofErr w:type="spellStart"/>
      <w:r w:rsidRPr="00992F4C">
        <w:rPr>
          <w:rFonts w:ascii="Times New Roman" w:hAnsi="Times New Roman" w:cs="Times New Roman"/>
          <w:sz w:val="24"/>
          <w:szCs w:val="24"/>
          <w:lang w:val="es-ES"/>
        </w:rPr>
        <w:t>microeconomic</w:t>
      </w:r>
      <w:proofErr w:type="spellEnd"/>
      <w:r w:rsidRPr="00992F4C">
        <w:rPr>
          <w:rFonts w:ascii="Times New Roman" w:hAnsi="Times New Roman" w:cs="Times New Roman"/>
          <w:sz w:val="24"/>
          <w:szCs w:val="24"/>
          <w:lang w:val="es-ES"/>
        </w:rPr>
        <w:t xml:space="preserve"> and </w:t>
      </w:r>
      <w:proofErr w:type="spellStart"/>
      <w:r w:rsidRPr="00992F4C">
        <w:rPr>
          <w:rFonts w:ascii="Times New Roman" w:hAnsi="Times New Roman" w:cs="Times New Roman"/>
          <w:sz w:val="24"/>
          <w:szCs w:val="24"/>
          <w:lang w:val="es-ES"/>
        </w:rPr>
        <w:t>macroeconomic</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aspects</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that</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affect</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emerging</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countries</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such</w:t>
      </w:r>
      <w:proofErr w:type="spellEnd"/>
      <w:r w:rsidRPr="00992F4C">
        <w:rPr>
          <w:rFonts w:ascii="Times New Roman" w:hAnsi="Times New Roman" w:cs="Times New Roman"/>
          <w:sz w:val="24"/>
          <w:szCs w:val="24"/>
          <w:lang w:val="es-ES"/>
        </w:rPr>
        <w:t xml:space="preserve"> as Colombia, as </w:t>
      </w:r>
      <w:proofErr w:type="spellStart"/>
      <w:r w:rsidRPr="00992F4C">
        <w:rPr>
          <w:rFonts w:ascii="Times New Roman" w:hAnsi="Times New Roman" w:cs="Times New Roman"/>
          <w:sz w:val="24"/>
          <w:szCs w:val="24"/>
          <w:lang w:val="es-ES"/>
        </w:rPr>
        <w:t>well</w:t>
      </w:r>
      <w:proofErr w:type="spellEnd"/>
      <w:r w:rsidRPr="00992F4C">
        <w:rPr>
          <w:rFonts w:ascii="Times New Roman" w:hAnsi="Times New Roman" w:cs="Times New Roman"/>
          <w:sz w:val="24"/>
          <w:szCs w:val="24"/>
          <w:lang w:val="es-ES"/>
        </w:rPr>
        <w:t xml:space="preserve"> as </w:t>
      </w:r>
      <w:proofErr w:type="spellStart"/>
      <w:r w:rsidRPr="00992F4C">
        <w:rPr>
          <w:rFonts w:ascii="Times New Roman" w:hAnsi="Times New Roman" w:cs="Times New Roman"/>
          <w:sz w:val="24"/>
          <w:szCs w:val="24"/>
          <w:lang w:val="es-ES"/>
        </w:rPr>
        <w:t>evidence</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that</w:t>
      </w:r>
      <w:proofErr w:type="spellEnd"/>
      <w:r w:rsidRPr="00992F4C">
        <w:rPr>
          <w:rFonts w:ascii="Times New Roman" w:hAnsi="Times New Roman" w:cs="Times New Roman"/>
          <w:sz w:val="24"/>
          <w:szCs w:val="24"/>
          <w:lang w:val="es-ES"/>
        </w:rPr>
        <w:t xml:space="preserve"> a </w:t>
      </w:r>
      <w:proofErr w:type="spellStart"/>
      <w:r w:rsidRPr="00992F4C">
        <w:rPr>
          <w:rFonts w:ascii="Times New Roman" w:hAnsi="Times New Roman" w:cs="Times New Roman"/>
          <w:sz w:val="24"/>
          <w:szCs w:val="24"/>
          <w:lang w:val="es-ES"/>
        </w:rPr>
        <w:t>situation</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that</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affected</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the</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price</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of</w:t>
      </w:r>
      <w:proofErr w:type="spellEnd"/>
      <w:r w:rsidRPr="00992F4C">
        <w:rPr>
          <w:rFonts w:ascii="Times New Roman" w:hAnsi="Times New Roman" w:cs="Times New Roman"/>
          <w:sz w:val="24"/>
          <w:szCs w:val="24"/>
          <w:lang w:val="es-ES"/>
        </w:rPr>
        <w:t xml:space="preserve"> shares in </w:t>
      </w:r>
      <w:proofErr w:type="spellStart"/>
      <w:r w:rsidRPr="00992F4C">
        <w:rPr>
          <w:rFonts w:ascii="Times New Roman" w:hAnsi="Times New Roman" w:cs="Times New Roman"/>
          <w:sz w:val="24"/>
          <w:szCs w:val="24"/>
          <w:lang w:val="es-ES"/>
        </w:rPr>
        <w:t>the</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organizations</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analyzed</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was</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the</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pandemic</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period</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since</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it</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implied</w:t>
      </w:r>
      <w:proofErr w:type="spellEnd"/>
      <w:r w:rsidRPr="00992F4C">
        <w:rPr>
          <w:rFonts w:ascii="Times New Roman" w:hAnsi="Times New Roman" w:cs="Times New Roman"/>
          <w:sz w:val="24"/>
          <w:szCs w:val="24"/>
          <w:lang w:val="es-ES"/>
        </w:rPr>
        <w:t xml:space="preserve"> a </w:t>
      </w:r>
      <w:proofErr w:type="spellStart"/>
      <w:r w:rsidRPr="00992F4C">
        <w:rPr>
          <w:rFonts w:ascii="Times New Roman" w:hAnsi="Times New Roman" w:cs="Times New Roman"/>
          <w:sz w:val="24"/>
          <w:szCs w:val="24"/>
          <w:lang w:val="es-ES"/>
        </w:rPr>
        <w:t>significant</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drop</w:t>
      </w:r>
      <w:proofErr w:type="spellEnd"/>
      <w:r w:rsidRPr="00992F4C">
        <w:rPr>
          <w:rFonts w:ascii="Times New Roman" w:hAnsi="Times New Roman" w:cs="Times New Roman"/>
          <w:sz w:val="24"/>
          <w:szCs w:val="24"/>
          <w:lang w:val="es-ES"/>
        </w:rPr>
        <w:t xml:space="preserve"> in </w:t>
      </w:r>
      <w:proofErr w:type="spellStart"/>
      <w:r w:rsidRPr="00992F4C">
        <w:rPr>
          <w:rFonts w:ascii="Times New Roman" w:hAnsi="Times New Roman" w:cs="Times New Roman"/>
          <w:sz w:val="24"/>
          <w:szCs w:val="24"/>
          <w:lang w:val="es-ES"/>
        </w:rPr>
        <w:t>the</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price</w:t>
      </w:r>
      <w:proofErr w:type="spellEnd"/>
      <w:r w:rsidRPr="00992F4C">
        <w:rPr>
          <w:rFonts w:ascii="Times New Roman" w:hAnsi="Times New Roman" w:cs="Times New Roman"/>
          <w:sz w:val="24"/>
          <w:szCs w:val="24"/>
          <w:lang w:val="es-ES"/>
        </w:rPr>
        <w:t xml:space="preserve"> </w:t>
      </w:r>
      <w:proofErr w:type="spellStart"/>
      <w:r w:rsidRPr="00992F4C">
        <w:rPr>
          <w:rFonts w:ascii="Times New Roman" w:hAnsi="Times New Roman" w:cs="Times New Roman"/>
          <w:sz w:val="24"/>
          <w:szCs w:val="24"/>
          <w:lang w:val="es-ES"/>
        </w:rPr>
        <w:t>of</w:t>
      </w:r>
      <w:proofErr w:type="spellEnd"/>
      <w:r w:rsidRPr="00992F4C">
        <w:rPr>
          <w:rFonts w:ascii="Times New Roman" w:hAnsi="Times New Roman" w:cs="Times New Roman"/>
          <w:sz w:val="24"/>
          <w:szCs w:val="24"/>
          <w:lang w:val="es-ES"/>
        </w:rPr>
        <w:t xml:space="preserve"> shares.</w:t>
      </w:r>
    </w:p>
    <w:p w14:paraId="02DE2564" w14:textId="77777777" w:rsidR="00992F4C" w:rsidRDefault="00992F4C" w:rsidP="00992F4C">
      <w:pPr>
        <w:spacing w:before="240" w:line="240" w:lineRule="auto"/>
        <w:ind w:firstLine="720"/>
        <w:rPr>
          <w:rFonts w:ascii="Times New Roman" w:hAnsi="Times New Roman" w:cs="Times New Roman"/>
          <w:sz w:val="24"/>
          <w:szCs w:val="24"/>
          <w:lang w:val="es-ES"/>
        </w:rPr>
      </w:pPr>
      <w:proofErr w:type="spellStart"/>
      <w:r w:rsidRPr="00992F4C">
        <w:rPr>
          <w:rFonts w:ascii="Times New Roman" w:hAnsi="Times New Roman" w:cs="Times New Roman"/>
          <w:b/>
          <w:bCs/>
          <w:sz w:val="24"/>
          <w:szCs w:val="24"/>
          <w:lang w:val="es-ES"/>
        </w:rPr>
        <w:t>Keywords</w:t>
      </w:r>
      <w:proofErr w:type="spellEnd"/>
      <w:r w:rsidRPr="00992F4C">
        <w:rPr>
          <w:rFonts w:ascii="Times New Roman" w:hAnsi="Times New Roman" w:cs="Times New Roman"/>
          <w:b/>
          <w:bCs/>
          <w:sz w:val="24"/>
          <w:szCs w:val="24"/>
          <w:lang w:val="es-ES"/>
        </w:rPr>
        <w:t>:</w:t>
      </w:r>
      <w:r w:rsidRPr="00992F4C">
        <w:rPr>
          <w:rFonts w:ascii="Times New Roman" w:hAnsi="Times New Roman" w:cs="Times New Roman"/>
          <w:sz w:val="24"/>
          <w:szCs w:val="24"/>
          <w:lang w:val="es-ES"/>
        </w:rPr>
        <w:t xml:space="preserve"> ADR's, NYSE, shares.</w:t>
      </w:r>
    </w:p>
    <w:p w14:paraId="1F4D2F1E" w14:textId="77777777" w:rsidR="00992F4C" w:rsidRPr="00333E67" w:rsidRDefault="00992F4C" w:rsidP="00992F4C">
      <w:pPr>
        <w:spacing w:before="240" w:line="240" w:lineRule="auto"/>
        <w:rPr>
          <w:rFonts w:ascii="Times New Roman" w:hAnsi="Times New Roman" w:cs="Times New Roman"/>
          <w:sz w:val="24"/>
          <w:szCs w:val="24"/>
          <w:lang w:val="es-ES"/>
        </w:rPr>
      </w:pPr>
      <w:r>
        <w:rPr>
          <w:rFonts w:ascii="Times New Roman" w:hAnsi="Times New Roman" w:cs="Times New Roman"/>
          <w:sz w:val="24"/>
          <w:szCs w:val="24"/>
          <w:lang w:val="es-ES"/>
        </w:rPr>
        <w:t>___________________________________________________________________________</w:t>
      </w:r>
    </w:p>
    <w:p w14:paraId="6F1557CE" w14:textId="77777777" w:rsidR="00AD58DD" w:rsidRPr="00BD2357" w:rsidRDefault="00D32309" w:rsidP="00992F4C">
      <w:pPr>
        <w:spacing w:before="240" w:line="240" w:lineRule="auto"/>
        <w:jc w:val="center"/>
        <w:rPr>
          <w:rFonts w:ascii="Times New Roman" w:hAnsi="Times New Roman" w:cs="Times New Roman"/>
          <w:b/>
          <w:bCs/>
          <w:sz w:val="24"/>
          <w:szCs w:val="24"/>
          <w:lang w:val="es-ES"/>
        </w:rPr>
      </w:pPr>
      <w:r w:rsidRPr="00BD2357">
        <w:rPr>
          <w:rFonts w:ascii="Times New Roman" w:hAnsi="Times New Roman" w:cs="Times New Roman"/>
          <w:b/>
          <w:bCs/>
          <w:sz w:val="24"/>
          <w:szCs w:val="24"/>
          <w:lang w:val="es-ES"/>
        </w:rPr>
        <w:t>Introducción</w:t>
      </w:r>
    </w:p>
    <w:p w14:paraId="20D67CBD" w14:textId="77777777" w:rsidR="00D32309" w:rsidRDefault="00D32309" w:rsidP="003D6253">
      <w:pPr>
        <w:spacing w:before="240" w:line="240" w:lineRule="auto"/>
        <w:ind w:firstLine="720"/>
        <w:rPr>
          <w:rFonts w:ascii="Times New Roman" w:hAnsi="Times New Roman" w:cs="Times New Roman"/>
          <w:sz w:val="24"/>
          <w:szCs w:val="24"/>
          <w:lang w:val="es-ES"/>
        </w:rPr>
      </w:pPr>
      <w:r w:rsidRPr="001E33A7">
        <w:rPr>
          <w:rFonts w:ascii="Times New Roman" w:hAnsi="Times New Roman" w:cs="Times New Roman"/>
          <w:sz w:val="24"/>
          <w:szCs w:val="24"/>
          <w:lang w:val="es-ES"/>
        </w:rPr>
        <w:t xml:space="preserve">El surgimiento de las American Depositary Receipt (ADR) tuvo lugar en 1927 tras la necesidad de los inversionistas </w:t>
      </w:r>
      <w:r w:rsidRPr="00A44E5C">
        <w:rPr>
          <w:rFonts w:ascii="Times New Roman" w:hAnsi="Times New Roman" w:cs="Times New Roman"/>
          <w:sz w:val="24"/>
          <w:szCs w:val="24"/>
          <w:lang w:val="es-ES"/>
        </w:rPr>
        <w:t>estadounidenses por comprar acciones británicas, las cuales a su vez se encontraban restringidas por parte del gobierno local, lo que les impidió emitir acciones fuera del territorio</w:t>
      </w:r>
      <w:r w:rsidR="001E33A7" w:rsidRPr="00A44E5C">
        <w:rPr>
          <w:rFonts w:ascii="Times New Roman" w:hAnsi="Times New Roman" w:cs="Times New Roman"/>
          <w:sz w:val="24"/>
          <w:szCs w:val="24"/>
          <w:lang w:val="es-ES"/>
        </w:rPr>
        <w:t>. Cabe resaltar que según Merino (2008) las ADR’s corresponden a títulos que representan un conjunto especifico de acciones que son propiedad de una compañía extranjera que cotiza en una bolsa de valores de Estados Unidos</w:t>
      </w:r>
      <w:r w:rsidR="00BD2357" w:rsidRPr="00A44E5C">
        <w:rPr>
          <w:rFonts w:ascii="Times New Roman" w:hAnsi="Times New Roman" w:cs="Times New Roman"/>
          <w:sz w:val="24"/>
          <w:szCs w:val="24"/>
          <w:lang w:val="es-ES"/>
        </w:rPr>
        <w:t xml:space="preserve">, por lo que aquellos que cuentan con una ADR en su portafolio tienen la posibilidad de beneficiarse, dado que estos instrumentos financieros permiten la diversificación y el aprovechamiento de </w:t>
      </w:r>
      <w:r w:rsidR="00BD2357" w:rsidRPr="00A44E5C">
        <w:rPr>
          <w:rFonts w:ascii="Times New Roman" w:hAnsi="Times New Roman" w:cs="Times New Roman"/>
          <w:sz w:val="24"/>
          <w:szCs w:val="24"/>
          <w:lang w:val="es-ES"/>
        </w:rPr>
        <w:lastRenderedPageBreak/>
        <w:t>los mercados a nivel mundial</w:t>
      </w:r>
      <w:r w:rsidR="00C77DDB" w:rsidRPr="00A44E5C">
        <w:rPr>
          <w:rFonts w:ascii="Times New Roman" w:hAnsi="Times New Roman" w:cs="Times New Roman"/>
          <w:sz w:val="24"/>
          <w:szCs w:val="24"/>
          <w:lang w:val="es-ES"/>
        </w:rPr>
        <w:t>, pues si bien</w:t>
      </w:r>
      <w:r w:rsidR="00A44E5C" w:rsidRPr="00A44E5C">
        <w:rPr>
          <w:rFonts w:ascii="Times New Roman" w:hAnsi="Times New Roman" w:cs="Times New Roman"/>
          <w:sz w:val="24"/>
          <w:szCs w:val="24"/>
          <w:lang w:val="es-ES"/>
        </w:rPr>
        <w:t xml:space="preserve"> Franco (2010)</w:t>
      </w:r>
      <w:r w:rsidR="00C77DDB" w:rsidRPr="00A44E5C">
        <w:rPr>
          <w:rFonts w:ascii="Times New Roman" w:hAnsi="Times New Roman" w:cs="Times New Roman"/>
          <w:sz w:val="24"/>
          <w:szCs w:val="24"/>
          <w:lang w:val="es-ES"/>
        </w:rPr>
        <w:t xml:space="preserve"> asegura que el numero de empresas locales que cuentan con activos en plazas a nivel mundial es limitado, el mercado de los </w:t>
      </w:r>
      <w:proofErr w:type="spellStart"/>
      <w:r w:rsidR="00C77DDB" w:rsidRPr="00A44E5C">
        <w:rPr>
          <w:rFonts w:ascii="Times New Roman" w:hAnsi="Times New Roman" w:cs="Times New Roman"/>
          <w:sz w:val="24"/>
          <w:szCs w:val="24"/>
          <w:lang w:val="es-ES"/>
        </w:rPr>
        <w:t>ADRS’s</w:t>
      </w:r>
      <w:proofErr w:type="spellEnd"/>
      <w:r w:rsidR="00C77DDB" w:rsidRPr="00A44E5C">
        <w:rPr>
          <w:rFonts w:ascii="Times New Roman" w:hAnsi="Times New Roman" w:cs="Times New Roman"/>
          <w:sz w:val="24"/>
          <w:szCs w:val="24"/>
          <w:lang w:val="es-ES"/>
        </w:rPr>
        <w:t xml:space="preserve"> puede considerarse como una de las herramientas con mayor potencial para las firmas provenientes de países emergentes.</w:t>
      </w:r>
      <w:r w:rsidR="00C77DDB">
        <w:rPr>
          <w:rFonts w:ascii="Times New Roman" w:hAnsi="Times New Roman" w:cs="Times New Roman"/>
          <w:sz w:val="24"/>
          <w:szCs w:val="24"/>
          <w:lang w:val="es-ES"/>
        </w:rPr>
        <w:t xml:space="preserve"> </w:t>
      </w:r>
    </w:p>
    <w:p w14:paraId="5F7C1EB9" w14:textId="77777777" w:rsidR="00BD2357" w:rsidRDefault="00893549" w:rsidP="003D6253">
      <w:pPr>
        <w:spacing w:before="240" w:line="240" w:lineRule="auto"/>
        <w:ind w:firstLine="720"/>
        <w:rPr>
          <w:rFonts w:ascii="Times New Roman" w:hAnsi="Times New Roman" w:cs="Times New Roman"/>
          <w:sz w:val="24"/>
          <w:szCs w:val="24"/>
          <w:lang w:val="es-ES"/>
        </w:rPr>
      </w:pPr>
      <w:r>
        <w:rPr>
          <w:rFonts w:ascii="Times New Roman" w:hAnsi="Times New Roman" w:cs="Times New Roman"/>
          <w:sz w:val="24"/>
          <w:szCs w:val="24"/>
          <w:lang w:val="es-ES"/>
        </w:rPr>
        <w:t xml:space="preserve">Según </w:t>
      </w:r>
      <w:r w:rsidR="000C32F2" w:rsidRPr="000C32F2">
        <w:rPr>
          <w:rFonts w:ascii="Times New Roman" w:hAnsi="Times New Roman" w:cs="Times New Roman"/>
          <w:noProof/>
          <w:sz w:val="24"/>
          <w:szCs w:val="24"/>
          <w:lang w:val="es-ES"/>
        </w:rPr>
        <w:t>Franco</w:t>
      </w:r>
      <w:r w:rsidR="000C32F2">
        <w:rPr>
          <w:rFonts w:ascii="Times New Roman" w:hAnsi="Times New Roman" w:cs="Times New Roman"/>
          <w:noProof/>
          <w:sz w:val="24"/>
          <w:szCs w:val="24"/>
          <w:lang w:val="es-ES"/>
        </w:rPr>
        <w:t xml:space="preserve"> (</w:t>
      </w:r>
      <w:r w:rsidR="000C32F2" w:rsidRPr="000C32F2">
        <w:rPr>
          <w:rFonts w:ascii="Times New Roman" w:hAnsi="Times New Roman" w:cs="Times New Roman"/>
          <w:noProof/>
          <w:sz w:val="24"/>
          <w:szCs w:val="24"/>
          <w:lang w:val="es-ES"/>
        </w:rPr>
        <w:t>2010)</w:t>
      </w:r>
      <w:r>
        <w:rPr>
          <w:rFonts w:ascii="Times New Roman" w:hAnsi="Times New Roman" w:cs="Times New Roman"/>
          <w:sz w:val="24"/>
          <w:szCs w:val="24"/>
          <w:lang w:val="es-ES"/>
        </w:rPr>
        <w:t xml:space="preserve"> la emisión de ADR’s se realiza con el respaldo de acciones que se encuentran en custodia en el país donde se encuentra localizada la empresa emisora de las mismas. En este sentido, se menciona que a partir de la primera emisión de </w:t>
      </w:r>
      <w:proofErr w:type="spellStart"/>
      <w:r>
        <w:rPr>
          <w:rFonts w:ascii="Times New Roman" w:hAnsi="Times New Roman" w:cs="Times New Roman"/>
          <w:sz w:val="24"/>
          <w:szCs w:val="24"/>
          <w:lang w:val="es-ES"/>
        </w:rPr>
        <w:t>Amérocan</w:t>
      </w:r>
      <w:proofErr w:type="spellEnd"/>
      <w:r>
        <w:rPr>
          <w:rFonts w:ascii="Times New Roman" w:hAnsi="Times New Roman" w:cs="Times New Roman"/>
          <w:sz w:val="24"/>
          <w:szCs w:val="24"/>
          <w:lang w:val="es-ES"/>
        </w:rPr>
        <w:t xml:space="preserve"> Depositary </w:t>
      </w:r>
      <w:proofErr w:type="spellStart"/>
      <w:r>
        <w:rPr>
          <w:rFonts w:ascii="Times New Roman" w:hAnsi="Times New Roman" w:cs="Times New Roman"/>
          <w:sz w:val="24"/>
          <w:szCs w:val="24"/>
          <w:lang w:val="es-ES"/>
        </w:rPr>
        <w:t>Receipts</w:t>
      </w:r>
      <w:proofErr w:type="spellEnd"/>
      <w:r>
        <w:rPr>
          <w:rFonts w:ascii="Times New Roman" w:hAnsi="Times New Roman" w:cs="Times New Roman"/>
          <w:sz w:val="24"/>
          <w:szCs w:val="24"/>
          <w:lang w:val="es-ES"/>
        </w:rPr>
        <w:t xml:space="preserve"> llevada a cabo en Colombia fueron varias las organizaciones que han incorporado estos instrumentos como parte de su </w:t>
      </w:r>
      <w:proofErr w:type="spellStart"/>
      <w:r>
        <w:rPr>
          <w:rFonts w:ascii="Times New Roman" w:hAnsi="Times New Roman" w:cs="Times New Roman"/>
          <w:sz w:val="24"/>
          <w:szCs w:val="24"/>
          <w:lang w:val="es-ES"/>
        </w:rPr>
        <w:t>portaflio</w:t>
      </w:r>
      <w:proofErr w:type="spellEnd"/>
      <w:r w:rsidR="000C32F2">
        <w:rPr>
          <w:rFonts w:ascii="Times New Roman" w:hAnsi="Times New Roman" w:cs="Times New Roman"/>
          <w:sz w:val="24"/>
          <w:szCs w:val="24"/>
          <w:lang w:val="es-ES"/>
        </w:rPr>
        <w:t xml:space="preserve">. </w:t>
      </w:r>
      <w:r w:rsidR="00BD2357">
        <w:rPr>
          <w:rFonts w:ascii="Times New Roman" w:hAnsi="Times New Roman" w:cs="Times New Roman"/>
          <w:sz w:val="24"/>
          <w:szCs w:val="24"/>
          <w:lang w:val="es-ES"/>
        </w:rPr>
        <w:t xml:space="preserve">En cuanto a las empresas colombianas que </w:t>
      </w:r>
      <w:r w:rsidR="00AC6A4B">
        <w:rPr>
          <w:rFonts w:ascii="Times New Roman" w:hAnsi="Times New Roman" w:cs="Times New Roman"/>
          <w:sz w:val="24"/>
          <w:szCs w:val="24"/>
          <w:lang w:val="es-ES"/>
        </w:rPr>
        <w:t xml:space="preserve">se cotizan en la bolsa de valores de New York NYSE se encuentra que estas se ubican en alrededor de catorce empresas, de las cuales solo cuatro cuentan con un volumen de negociación activo y significativo en el intradía, siendo empresas </w:t>
      </w:r>
      <w:r w:rsidR="00CF0AA2">
        <w:rPr>
          <w:rFonts w:ascii="Times New Roman" w:hAnsi="Times New Roman" w:cs="Times New Roman"/>
          <w:sz w:val="24"/>
          <w:szCs w:val="24"/>
          <w:lang w:val="es-ES"/>
        </w:rPr>
        <w:t xml:space="preserve">como Bancolombia, Ecopetrol, Grupo Aval y Tecnoglass, </w:t>
      </w:r>
      <w:r w:rsidR="00AC6A4B">
        <w:rPr>
          <w:rFonts w:ascii="Times New Roman" w:hAnsi="Times New Roman" w:cs="Times New Roman"/>
          <w:sz w:val="24"/>
          <w:szCs w:val="24"/>
          <w:lang w:val="es-ES"/>
        </w:rPr>
        <w:t>que cuentan con un capital netamente colombiano y consideradas como organizaciones solidas y consolidadas en el mercado de acciones nacional, actualmente concebidas como grandes referentes de empresas de los distintos sectores económicos</w:t>
      </w:r>
      <w:r w:rsidR="00CF0AA2">
        <w:rPr>
          <w:rFonts w:ascii="Times New Roman" w:hAnsi="Times New Roman" w:cs="Times New Roman"/>
          <w:sz w:val="24"/>
          <w:szCs w:val="24"/>
          <w:lang w:val="es-ES"/>
        </w:rPr>
        <w:t>.</w:t>
      </w:r>
    </w:p>
    <w:p w14:paraId="37B384A9" w14:textId="77777777" w:rsidR="00036461" w:rsidRDefault="007E19D4" w:rsidP="003D6253">
      <w:pPr>
        <w:spacing w:before="240" w:line="240" w:lineRule="auto"/>
        <w:ind w:firstLine="720"/>
        <w:rPr>
          <w:rFonts w:ascii="Times New Roman" w:hAnsi="Times New Roman" w:cs="Times New Roman"/>
          <w:sz w:val="24"/>
          <w:szCs w:val="24"/>
          <w:lang w:val="es-ES"/>
        </w:rPr>
      </w:pPr>
      <w:r>
        <w:rPr>
          <w:rFonts w:ascii="Times New Roman" w:hAnsi="Times New Roman" w:cs="Times New Roman"/>
          <w:sz w:val="24"/>
          <w:szCs w:val="24"/>
          <w:lang w:val="es-ES"/>
        </w:rPr>
        <w:t>Pese al ingreso de diversas empresas colombianas en la bolsa de valores, se evidencia que existe una problemática inminente alrededor de las mismas, lo que se asocia según… a la aversión al riesgo y al temor por transar sus acciones en el mercado de valores</w:t>
      </w:r>
      <w:r w:rsidR="009B2A18">
        <w:rPr>
          <w:rFonts w:ascii="Times New Roman" w:hAnsi="Times New Roman" w:cs="Times New Roman"/>
          <w:sz w:val="24"/>
          <w:szCs w:val="24"/>
          <w:lang w:val="es-ES"/>
        </w:rPr>
        <w:t xml:space="preserve"> debido a la inestabilidad de este sector</w:t>
      </w:r>
      <w:r>
        <w:rPr>
          <w:rFonts w:ascii="Times New Roman" w:hAnsi="Times New Roman" w:cs="Times New Roman"/>
          <w:sz w:val="24"/>
          <w:szCs w:val="24"/>
          <w:lang w:val="es-ES"/>
        </w:rPr>
        <w:t xml:space="preserve">, lo que se acompaña también de </w:t>
      </w:r>
      <w:r w:rsidR="009B2A18">
        <w:rPr>
          <w:rFonts w:ascii="Times New Roman" w:hAnsi="Times New Roman" w:cs="Times New Roman"/>
          <w:sz w:val="24"/>
          <w:szCs w:val="24"/>
          <w:lang w:val="es-ES"/>
        </w:rPr>
        <w:t>una carencia en la cultura de inversión en acciones</w:t>
      </w:r>
      <w:r w:rsidR="00036461">
        <w:rPr>
          <w:rFonts w:ascii="Times New Roman" w:hAnsi="Times New Roman" w:cs="Times New Roman"/>
          <w:sz w:val="24"/>
          <w:szCs w:val="24"/>
          <w:lang w:val="es-ES"/>
        </w:rPr>
        <w:t xml:space="preserve">. Al respecto, </w:t>
      </w:r>
      <w:r w:rsidR="000C32F2" w:rsidRPr="00036461">
        <w:rPr>
          <w:rFonts w:ascii="Times New Roman" w:hAnsi="Times New Roman" w:cs="Times New Roman"/>
          <w:noProof/>
          <w:sz w:val="24"/>
          <w:szCs w:val="24"/>
          <w:lang w:val="es-ES"/>
        </w:rPr>
        <w:t>González, Guzman</w:t>
      </w:r>
      <w:r w:rsidR="000C32F2">
        <w:rPr>
          <w:rFonts w:ascii="Times New Roman" w:hAnsi="Times New Roman" w:cs="Times New Roman"/>
          <w:noProof/>
          <w:sz w:val="24"/>
          <w:szCs w:val="24"/>
          <w:lang w:val="es-ES"/>
        </w:rPr>
        <w:t xml:space="preserve"> y</w:t>
      </w:r>
      <w:r w:rsidR="000C32F2" w:rsidRPr="00036461">
        <w:rPr>
          <w:rFonts w:ascii="Times New Roman" w:hAnsi="Times New Roman" w:cs="Times New Roman"/>
          <w:noProof/>
          <w:sz w:val="24"/>
          <w:szCs w:val="24"/>
          <w:lang w:val="es-ES"/>
        </w:rPr>
        <w:t xml:space="preserve"> Trujillo</w:t>
      </w:r>
      <w:r w:rsidR="000C32F2">
        <w:rPr>
          <w:rFonts w:ascii="Times New Roman" w:hAnsi="Times New Roman" w:cs="Times New Roman"/>
          <w:noProof/>
          <w:sz w:val="24"/>
          <w:szCs w:val="24"/>
          <w:lang w:val="es-ES"/>
        </w:rPr>
        <w:t xml:space="preserve"> (</w:t>
      </w:r>
      <w:r w:rsidR="000C32F2" w:rsidRPr="00036461">
        <w:rPr>
          <w:rFonts w:ascii="Times New Roman" w:hAnsi="Times New Roman" w:cs="Times New Roman"/>
          <w:noProof/>
          <w:sz w:val="24"/>
          <w:szCs w:val="24"/>
          <w:lang w:val="es-ES"/>
        </w:rPr>
        <w:t>2011)</w:t>
      </w:r>
      <w:r w:rsidR="00036461">
        <w:rPr>
          <w:rFonts w:ascii="Times New Roman" w:hAnsi="Times New Roman" w:cs="Times New Roman"/>
          <w:sz w:val="24"/>
          <w:szCs w:val="24"/>
          <w:lang w:val="es-ES"/>
        </w:rPr>
        <w:t xml:space="preserve"> establece que existen una serie de elementos que influyen en esta problemática, comenzando por la influencia que tienen </w:t>
      </w:r>
      <w:r w:rsidRPr="007E19D4">
        <w:rPr>
          <w:rFonts w:ascii="Times New Roman" w:hAnsi="Times New Roman" w:cs="Times New Roman"/>
          <w:sz w:val="24"/>
          <w:szCs w:val="24"/>
          <w:lang w:val="es-ES"/>
        </w:rPr>
        <w:t>las características del país para la implementación de sistemas de buen gobierno corporativo; estas características influyen en la relación costo-beneficio en que incurren las empresas al comprometerse con buenas prácticas de gobierno corporativo.</w:t>
      </w:r>
    </w:p>
    <w:p w14:paraId="7CF51EFB" w14:textId="77777777" w:rsidR="00ED325B" w:rsidRDefault="007E19D4" w:rsidP="003D6253">
      <w:pPr>
        <w:spacing w:before="240" w:line="240" w:lineRule="auto"/>
        <w:ind w:firstLine="720"/>
        <w:rPr>
          <w:rFonts w:ascii="Times New Roman" w:hAnsi="Times New Roman" w:cs="Times New Roman"/>
          <w:sz w:val="24"/>
          <w:szCs w:val="24"/>
          <w:lang w:val="es-ES"/>
        </w:rPr>
      </w:pPr>
      <w:r w:rsidRPr="007E19D4">
        <w:rPr>
          <w:rFonts w:ascii="Times New Roman" w:hAnsi="Times New Roman" w:cs="Times New Roman"/>
          <w:sz w:val="24"/>
          <w:szCs w:val="24"/>
          <w:lang w:val="es-ES"/>
        </w:rPr>
        <w:t xml:space="preserve"> De esta forma,</w:t>
      </w:r>
      <w:r w:rsidR="00036461">
        <w:rPr>
          <w:rFonts w:ascii="Times New Roman" w:hAnsi="Times New Roman" w:cs="Times New Roman"/>
          <w:sz w:val="24"/>
          <w:szCs w:val="24"/>
          <w:lang w:val="es-ES"/>
        </w:rPr>
        <w:t xml:space="preserve"> se menciona que</w:t>
      </w:r>
      <w:r w:rsidRPr="007E19D4">
        <w:rPr>
          <w:rFonts w:ascii="Times New Roman" w:hAnsi="Times New Roman" w:cs="Times New Roman"/>
          <w:sz w:val="24"/>
          <w:szCs w:val="24"/>
          <w:lang w:val="es-ES"/>
        </w:rPr>
        <w:t xml:space="preserve"> la decisión que toman las empresas de adoptar mecanismos que garanticen un gobierno corporativo de alta calidad depende en gran medida del país en el que se encuentra la empresa. Sin embargo, este compromiso podría resultar prohibitivamente costoso en países con escasa protección de los inversores y bajo desarrollo económico y financiero. En este sentido, es concebible que las empresas de países con bajo desarrollo económico y financiero encuentren óptimo invertir menos en gobierno corporativo, y los derechos de los accionistas minoritarios se determinarán principalmente a nivel de país más que a nivel de empresa</w:t>
      </w:r>
      <w:r w:rsidR="00F01597">
        <w:rPr>
          <w:rFonts w:ascii="Times New Roman" w:hAnsi="Times New Roman" w:cs="Times New Roman"/>
          <w:sz w:val="24"/>
          <w:szCs w:val="24"/>
          <w:lang w:val="es-ES"/>
        </w:rPr>
        <w:t xml:space="preserve">, por lo que dicha aversión ha dado lugar a una limitación en la evolución de organizaciones que se encuentran vinculadas a las ADR que cotizan en NYSE, de modo que </w:t>
      </w:r>
      <w:r w:rsidR="00333E67">
        <w:rPr>
          <w:rFonts w:ascii="Times New Roman" w:hAnsi="Times New Roman" w:cs="Times New Roman"/>
          <w:sz w:val="24"/>
          <w:szCs w:val="24"/>
          <w:lang w:val="es-ES"/>
        </w:rPr>
        <w:t>el presente artículo establece como objetivo</w:t>
      </w:r>
      <w:r w:rsidR="00F01597">
        <w:rPr>
          <w:rFonts w:ascii="Times New Roman" w:hAnsi="Times New Roman" w:cs="Times New Roman"/>
          <w:sz w:val="24"/>
          <w:szCs w:val="24"/>
          <w:lang w:val="es-ES"/>
        </w:rPr>
        <w:t xml:space="preserve"> </w:t>
      </w:r>
      <w:r w:rsidR="00333E67">
        <w:rPr>
          <w:rFonts w:ascii="Times New Roman" w:hAnsi="Times New Roman" w:cs="Times New Roman"/>
          <w:sz w:val="24"/>
          <w:szCs w:val="24"/>
          <w:lang w:val="es-ES"/>
        </w:rPr>
        <w:t>analizar</w:t>
      </w:r>
      <w:r w:rsidR="00F01597" w:rsidRPr="00F01597">
        <w:rPr>
          <w:rFonts w:ascii="Times New Roman" w:hAnsi="Times New Roman" w:cs="Times New Roman"/>
          <w:sz w:val="24"/>
          <w:szCs w:val="24"/>
          <w:lang w:val="es-ES"/>
        </w:rPr>
        <w:t xml:space="preserve"> la evolución de las ADR´s colombianas que cotizan en NYSE en el periodo 2015-2021, mediante un</w:t>
      </w:r>
      <w:r w:rsidR="00F01597">
        <w:rPr>
          <w:rFonts w:ascii="Times New Roman" w:hAnsi="Times New Roman" w:cs="Times New Roman"/>
          <w:sz w:val="24"/>
          <w:szCs w:val="24"/>
          <w:lang w:val="es-ES"/>
        </w:rPr>
        <w:t xml:space="preserve">a revisión de información </w:t>
      </w:r>
      <w:r w:rsidR="00F01597" w:rsidRPr="00F01597">
        <w:rPr>
          <w:rFonts w:ascii="Times New Roman" w:hAnsi="Times New Roman" w:cs="Times New Roman"/>
          <w:sz w:val="24"/>
          <w:szCs w:val="24"/>
          <w:lang w:val="es-ES"/>
        </w:rPr>
        <w:t>cuantitativ</w:t>
      </w:r>
      <w:r w:rsidR="00F01597">
        <w:rPr>
          <w:rFonts w:ascii="Times New Roman" w:hAnsi="Times New Roman" w:cs="Times New Roman"/>
          <w:sz w:val="24"/>
          <w:szCs w:val="24"/>
          <w:lang w:val="es-ES"/>
        </w:rPr>
        <w:t>a</w:t>
      </w:r>
      <w:r w:rsidR="00F01597" w:rsidRPr="00F01597">
        <w:rPr>
          <w:rFonts w:ascii="Times New Roman" w:hAnsi="Times New Roman" w:cs="Times New Roman"/>
          <w:sz w:val="24"/>
          <w:szCs w:val="24"/>
          <w:lang w:val="es-ES"/>
        </w:rPr>
        <w:t xml:space="preserve"> y cualitativ</w:t>
      </w:r>
      <w:r w:rsidR="00F01597">
        <w:rPr>
          <w:rFonts w:ascii="Times New Roman" w:hAnsi="Times New Roman" w:cs="Times New Roman"/>
          <w:sz w:val="24"/>
          <w:szCs w:val="24"/>
          <w:lang w:val="es-ES"/>
        </w:rPr>
        <w:t>a</w:t>
      </w:r>
      <w:r w:rsidR="00F01597" w:rsidRPr="00F01597">
        <w:rPr>
          <w:rFonts w:ascii="Times New Roman" w:hAnsi="Times New Roman" w:cs="Times New Roman"/>
          <w:sz w:val="24"/>
          <w:szCs w:val="24"/>
          <w:lang w:val="es-ES"/>
        </w:rPr>
        <w:t xml:space="preserve"> </w:t>
      </w:r>
      <w:r w:rsidR="00F01597">
        <w:rPr>
          <w:rFonts w:ascii="Times New Roman" w:hAnsi="Times New Roman" w:cs="Times New Roman"/>
          <w:sz w:val="24"/>
          <w:szCs w:val="24"/>
          <w:lang w:val="es-ES"/>
        </w:rPr>
        <w:t>que permita conocer</w:t>
      </w:r>
      <w:r w:rsidR="00F01597" w:rsidRPr="00F01597">
        <w:rPr>
          <w:rFonts w:ascii="Times New Roman" w:hAnsi="Times New Roman" w:cs="Times New Roman"/>
          <w:sz w:val="24"/>
          <w:szCs w:val="24"/>
          <w:lang w:val="es-ES"/>
        </w:rPr>
        <w:t xml:space="preserve"> el comportamiento de dichas empresas.</w:t>
      </w:r>
    </w:p>
    <w:p w14:paraId="62B29059" w14:textId="77777777" w:rsidR="00ED325B" w:rsidRDefault="00ED325B" w:rsidP="003D6253">
      <w:pPr>
        <w:spacing w:before="240" w:line="240" w:lineRule="auto"/>
        <w:ind w:firstLine="720"/>
        <w:rPr>
          <w:rFonts w:ascii="Times New Roman" w:hAnsi="Times New Roman" w:cs="Times New Roman"/>
          <w:sz w:val="24"/>
          <w:szCs w:val="24"/>
          <w:lang w:val="es-ES"/>
        </w:rPr>
      </w:pPr>
      <w:r>
        <w:rPr>
          <w:rFonts w:ascii="Times New Roman" w:hAnsi="Times New Roman" w:cs="Times New Roman"/>
          <w:sz w:val="24"/>
          <w:szCs w:val="24"/>
          <w:lang w:val="es-ES"/>
        </w:rPr>
        <w:t>Con base en lo anterior, es preciso establecer que la pregunta de investigación a la que se pretende dar respuesta es ¿Cómo han evolucionado las ADR’s colombianas que cotizan en NYSE en el periodo 2015-2021, desde un análisis cuantitativo y cualitativo?</w:t>
      </w:r>
    </w:p>
    <w:p w14:paraId="77588843" w14:textId="77777777" w:rsidR="00ED325B" w:rsidRPr="00E91BFE" w:rsidRDefault="00ED325B" w:rsidP="003D6253">
      <w:pPr>
        <w:spacing w:before="240" w:line="240" w:lineRule="auto"/>
        <w:jc w:val="center"/>
        <w:rPr>
          <w:rFonts w:ascii="Times New Roman" w:hAnsi="Times New Roman" w:cs="Times New Roman"/>
          <w:b/>
          <w:bCs/>
          <w:sz w:val="24"/>
          <w:szCs w:val="24"/>
          <w:lang w:val="es-ES"/>
        </w:rPr>
      </w:pPr>
      <w:r w:rsidRPr="00E91BFE">
        <w:rPr>
          <w:rFonts w:ascii="Times New Roman" w:hAnsi="Times New Roman" w:cs="Times New Roman"/>
          <w:b/>
          <w:bCs/>
          <w:sz w:val="24"/>
          <w:szCs w:val="24"/>
          <w:lang w:val="es-ES"/>
        </w:rPr>
        <w:t>Metodología</w:t>
      </w:r>
    </w:p>
    <w:p w14:paraId="1A705BB1" w14:textId="77777777" w:rsidR="00ED325B" w:rsidRPr="00E91BFE" w:rsidRDefault="00ED325B" w:rsidP="003D6253">
      <w:pPr>
        <w:spacing w:before="240" w:line="240" w:lineRule="auto"/>
        <w:ind w:firstLine="720"/>
        <w:rPr>
          <w:rFonts w:ascii="Times New Roman" w:hAnsi="Times New Roman" w:cs="Times New Roman"/>
          <w:b/>
          <w:bCs/>
          <w:sz w:val="24"/>
          <w:szCs w:val="24"/>
          <w:lang w:val="es-ES"/>
        </w:rPr>
      </w:pPr>
      <w:r w:rsidRPr="00E91BFE">
        <w:rPr>
          <w:rFonts w:ascii="Times New Roman" w:hAnsi="Times New Roman" w:cs="Times New Roman"/>
          <w:b/>
          <w:bCs/>
          <w:sz w:val="24"/>
          <w:szCs w:val="24"/>
          <w:lang w:val="es-ES"/>
        </w:rPr>
        <w:t xml:space="preserve">Enfoque </w:t>
      </w:r>
      <w:r w:rsidR="00BC0FD7">
        <w:rPr>
          <w:rFonts w:ascii="Times New Roman" w:hAnsi="Times New Roman" w:cs="Times New Roman"/>
          <w:b/>
          <w:bCs/>
          <w:sz w:val="24"/>
          <w:szCs w:val="24"/>
          <w:lang w:val="es-ES"/>
        </w:rPr>
        <w:t>de investigación</w:t>
      </w:r>
    </w:p>
    <w:p w14:paraId="637A57C3" w14:textId="77777777" w:rsidR="00E91BFE" w:rsidRDefault="00E91BFE" w:rsidP="003D6253">
      <w:pPr>
        <w:spacing w:before="240" w:line="240" w:lineRule="auto"/>
        <w:ind w:firstLine="720"/>
        <w:rPr>
          <w:rFonts w:ascii="Times New Roman" w:hAnsi="Times New Roman" w:cs="Times New Roman"/>
          <w:sz w:val="24"/>
          <w:szCs w:val="24"/>
          <w:lang w:val="es-ES"/>
        </w:rPr>
      </w:pPr>
      <w:r>
        <w:rPr>
          <w:rFonts w:ascii="Times New Roman" w:hAnsi="Times New Roman" w:cs="Times New Roman"/>
          <w:sz w:val="24"/>
          <w:szCs w:val="24"/>
          <w:lang w:val="es-ES"/>
        </w:rPr>
        <w:lastRenderedPageBreak/>
        <w:t xml:space="preserve">El presente estudio se fundamenta en un enfoque mixto de investigación, puesto que emplea herramientas cualitativas y cuantitativas para su análisis. Cabe resaltar que según </w:t>
      </w:r>
      <w:r w:rsidR="00A44E5C" w:rsidRPr="000C32F2">
        <w:rPr>
          <w:rFonts w:ascii="Times New Roman" w:hAnsi="Times New Roman" w:cs="Times New Roman"/>
          <w:noProof/>
          <w:sz w:val="24"/>
          <w:szCs w:val="24"/>
          <w:lang w:val="es-ES"/>
        </w:rPr>
        <w:t>Sampieri, Fernández</w:t>
      </w:r>
      <w:r w:rsidR="00A44E5C">
        <w:rPr>
          <w:rFonts w:ascii="Times New Roman" w:hAnsi="Times New Roman" w:cs="Times New Roman"/>
          <w:noProof/>
          <w:sz w:val="24"/>
          <w:szCs w:val="24"/>
          <w:lang w:val="es-ES"/>
        </w:rPr>
        <w:t xml:space="preserve"> y</w:t>
      </w:r>
      <w:r w:rsidR="00A44E5C" w:rsidRPr="000C32F2">
        <w:rPr>
          <w:rFonts w:ascii="Times New Roman" w:hAnsi="Times New Roman" w:cs="Times New Roman"/>
          <w:noProof/>
          <w:sz w:val="24"/>
          <w:szCs w:val="24"/>
          <w:lang w:val="es-ES"/>
        </w:rPr>
        <w:t xml:space="preserve"> Baptista </w:t>
      </w:r>
      <w:r w:rsidR="00A44E5C">
        <w:rPr>
          <w:rFonts w:ascii="Times New Roman" w:hAnsi="Times New Roman" w:cs="Times New Roman"/>
          <w:noProof/>
          <w:sz w:val="24"/>
          <w:szCs w:val="24"/>
          <w:lang w:val="es-ES"/>
        </w:rPr>
        <w:t>(</w:t>
      </w:r>
      <w:r w:rsidR="00A44E5C" w:rsidRPr="000C32F2">
        <w:rPr>
          <w:rFonts w:ascii="Times New Roman" w:hAnsi="Times New Roman" w:cs="Times New Roman"/>
          <w:noProof/>
          <w:sz w:val="24"/>
          <w:szCs w:val="24"/>
          <w:lang w:val="es-ES"/>
        </w:rPr>
        <w:t>2014)</w:t>
      </w:r>
      <w:r w:rsidR="00A44E5C">
        <w:rPr>
          <w:rFonts w:ascii="Times New Roman" w:hAnsi="Times New Roman" w:cs="Times New Roman"/>
          <w:noProof/>
          <w:sz w:val="24"/>
          <w:szCs w:val="24"/>
          <w:lang w:val="es-ES"/>
        </w:rPr>
        <w:t xml:space="preserve"> </w:t>
      </w:r>
      <w:r>
        <w:rPr>
          <w:rFonts w:ascii="Times New Roman" w:hAnsi="Times New Roman" w:cs="Times New Roman"/>
          <w:sz w:val="24"/>
          <w:szCs w:val="24"/>
          <w:lang w:val="es-ES"/>
        </w:rPr>
        <w:t>el enfoque mixto aporta de manera significativa en los estudios, especialmente porque permite llevar a cabo una perspectiva mas amplia y profunda del fenómeno, ofreciendo una percepción mas integral, completa y holística</w:t>
      </w:r>
      <w:r w:rsidR="00BC0FD7">
        <w:rPr>
          <w:rFonts w:ascii="Times New Roman" w:hAnsi="Times New Roman" w:cs="Times New Roman"/>
          <w:sz w:val="24"/>
          <w:szCs w:val="24"/>
          <w:lang w:val="es-ES"/>
        </w:rPr>
        <w:t xml:space="preserve">, donde se apoye con mayor solidez las inferencias cuantitativas y cualitativas, permitiendo una mejor exploración de los datos. </w:t>
      </w:r>
    </w:p>
    <w:p w14:paraId="6785B219" w14:textId="77777777" w:rsidR="00BC0FD7" w:rsidRPr="000A30FC" w:rsidRDefault="00BC0FD7" w:rsidP="003D6253">
      <w:pPr>
        <w:spacing w:before="240" w:line="240" w:lineRule="auto"/>
        <w:ind w:firstLine="720"/>
        <w:rPr>
          <w:rFonts w:ascii="Times New Roman" w:hAnsi="Times New Roman" w:cs="Times New Roman"/>
          <w:b/>
          <w:bCs/>
          <w:sz w:val="24"/>
          <w:szCs w:val="24"/>
          <w:lang w:val="es-ES"/>
        </w:rPr>
      </w:pPr>
      <w:r w:rsidRPr="000A30FC">
        <w:rPr>
          <w:rFonts w:ascii="Times New Roman" w:hAnsi="Times New Roman" w:cs="Times New Roman"/>
          <w:b/>
          <w:bCs/>
          <w:sz w:val="24"/>
          <w:szCs w:val="24"/>
          <w:lang w:val="es-ES"/>
        </w:rPr>
        <w:t>Alcance de investigación</w:t>
      </w:r>
    </w:p>
    <w:p w14:paraId="0F0E5642" w14:textId="77777777" w:rsidR="00BC0FD7" w:rsidRDefault="00BC0FD7" w:rsidP="003D6253">
      <w:pPr>
        <w:spacing w:before="240" w:line="240" w:lineRule="auto"/>
        <w:ind w:firstLine="720"/>
        <w:rPr>
          <w:rFonts w:ascii="Times New Roman" w:hAnsi="Times New Roman" w:cs="Times New Roman"/>
          <w:sz w:val="24"/>
          <w:szCs w:val="24"/>
          <w:lang w:val="es-ES"/>
        </w:rPr>
      </w:pPr>
      <w:r>
        <w:rPr>
          <w:rFonts w:ascii="Times New Roman" w:hAnsi="Times New Roman" w:cs="Times New Roman"/>
          <w:sz w:val="24"/>
          <w:szCs w:val="24"/>
          <w:lang w:val="es-ES"/>
        </w:rPr>
        <w:t xml:space="preserve">El alcance de la presente investigación es descriptivo puesto que según </w:t>
      </w:r>
      <w:r w:rsidR="000C32F2" w:rsidRPr="000C32F2">
        <w:rPr>
          <w:rFonts w:ascii="Times New Roman" w:hAnsi="Times New Roman" w:cs="Times New Roman"/>
          <w:noProof/>
          <w:sz w:val="24"/>
          <w:szCs w:val="24"/>
          <w:lang w:val="es-ES"/>
        </w:rPr>
        <w:t>Sampieri, Fernández</w:t>
      </w:r>
      <w:r w:rsidR="000C32F2">
        <w:rPr>
          <w:rFonts w:ascii="Times New Roman" w:hAnsi="Times New Roman" w:cs="Times New Roman"/>
          <w:noProof/>
          <w:sz w:val="24"/>
          <w:szCs w:val="24"/>
          <w:lang w:val="es-ES"/>
        </w:rPr>
        <w:t xml:space="preserve"> y</w:t>
      </w:r>
      <w:r w:rsidR="000C32F2" w:rsidRPr="000C32F2">
        <w:rPr>
          <w:rFonts w:ascii="Times New Roman" w:hAnsi="Times New Roman" w:cs="Times New Roman"/>
          <w:noProof/>
          <w:sz w:val="24"/>
          <w:szCs w:val="24"/>
          <w:lang w:val="es-ES"/>
        </w:rPr>
        <w:t xml:space="preserve"> Baptista </w:t>
      </w:r>
      <w:r w:rsidR="000C32F2">
        <w:rPr>
          <w:rFonts w:ascii="Times New Roman" w:hAnsi="Times New Roman" w:cs="Times New Roman"/>
          <w:noProof/>
          <w:sz w:val="24"/>
          <w:szCs w:val="24"/>
          <w:lang w:val="es-ES"/>
        </w:rPr>
        <w:t>(</w:t>
      </w:r>
      <w:r w:rsidR="000C32F2" w:rsidRPr="000C32F2">
        <w:rPr>
          <w:rFonts w:ascii="Times New Roman" w:hAnsi="Times New Roman" w:cs="Times New Roman"/>
          <w:noProof/>
          <w:sz w:val="24"/>
          <w:szCs w:val="24"/>
          <w:lang w:val="es-ES"/>
        </w:rPr>
        <w:t>2014)</w:t>
      </w:r>
      <w:r w:rsidR="000C32F2">
        <w:rPr>
          <w:rFonts w:ascii="Times New Roman" w:hAnsi="Times New Roman" w:cs="Times New Roman"/>
          <w:noProof/>
          <w:sz w:val="24"/>
          <w:szCs w:val="24"/>
          <w:lang w:val="es-ES"/>
        </w:rPr>
        <w:t xml:space="preserve"> </w:t>
      </w:r>
      <w:r>
        <w:rPr>
          <w:rFonts w:ascii="Times New Roman" w:hAnsi="Times New Roman" w:cs="Times New Roman"/>
          <w:sz w:val="24"/>
          <w:szCs w:val="24"/>
          <w:lang w:val="es-ES"/>
        </w:rPr>
        <w:t xml:space="preserve">este alcance </w:t>
      </w:r>
      <w:r w:rsidR="000A30FC">
        <w:rPr>
          <w:rFonts w:ascii="Times New Roman" w:hAnsi="Times New Roman" w:cs="Times New Roman"/>
          <w:sz w:val="24"/>
          <w:szCs w:val="24"/>
          <w:lang w:val="es-ES"/>
        </w:rPr>
        <w:t>considera al fenómeno estudiado y sus componentes, donde se miden y se definen variables y conceptos</w:t>
      </w:r>
      <w:r w:rsidR="0039186E">
        <w:rPr>
          <w:rFonts w:ascii="Times New Roman" w:hAnsi="Times New Roman" w:cs="Times New Roman"/>
          <w:sz w:val="24"/>
          <w:szCs w:val="24"/>
          <w:lang w:val="es-ES"/>
        </w:rPr>
        <w:t>, por lo que este alcance permite especificar propiedades, características y perfiles de grupos o fenómenos sometidos a un análisis.</w:t>
      </w:r>
    </w:p>
    <w:p w14:paraId="340FC80B" w14:textId="77777777" w:rsidR="0039186E" w:rsidRPr="0039186E" w:rsidRDefault="0039186E" w:rsidP="003D6253">
      <w:pPr>
        <w:spacing w:before="240" w:line="240" w:lineRule="auto"/>
        <w:ind w:firstLine="720"/>
        <w:rPr>
          <w:rFonts w:ascii="Times New Roman" w:hAnsi="Times New Roman" w:cs="Times New Roman"/>
          <w:b/>
          <w:bCs/>
          <w:sz w:val="24"/>
          <w:szCs w:val="24"/>
          <w:lang w:val="es-ES"/>
        </w:rPr>
      </w:pPr>
      <w:r w:rsidRPr="0039186E">
        <w:rPr>
          <w:rFonts w:ascii="Times New Roman" w:hAnsi="Times New Roman" w:cs="Times New Roman"/>
          <w:b/>
          <w:bCs/>
          <w:sz w:val="24"/>
          <w:szCs w:val="24"/>
          <w:lang w:val="es-ES"/>
        </w:rPr>
        <w:t xml:space="preserve">Instrumentos de investigación </w:t>
      </w:r>
    </w:p>
    <w:p w14:paraId="5C7A0BF6" w14:textId="77777777" w:rsidR="00544371" w:rsidRDefault="0039186E" w:rsidP="00544371">
      <w:pPr>
        <w:spacing w:before="240" w:line="240" w:lineRule="auto"/>
        <w:ind w:firstLine="720"/>
        <w:rPr>
          <w:rFonts w:ascii="Times New Roman" w:hAnsi="Times New Roman" w:cs="Times New Roman"/>
          <w:sz w:val="24"/>
          <w:szCs w:val="24"/>
          <w:lang w:val="es-ES"/>
        </w:rPr>
      </w:pPr>
      <w:r>
        <w:rPr>
          <w:rFonts w:ascii="Times New Roman" w:hAnsi="Times New Roman" w:cs="Times New Roman"/>
          <w:sz w:val="24"/>
          <w:szCs w:val="24"/>
          <w:lang w:val="es-ES"/>
        </w:rPr>
        <w:t xml:space="preserve">En primera instancia se llevó a cabo un análisis bibliométrico, para lo que se utilizó una base de datos extraída de Google Scholar, posibilitando encontrar artículos, tesis, libros y demás documentos de </w:t>
      </w:r>
      <w:r w:rsidRPr="00C75A41">
        <w:rPr>
          <w:rFonts w:ascii="Times New Roman" w:hAnsi="Times New Roman" w:cs="Times New Roman"/>
          <w:sz w:val="24"/>
          <w:szCs w:val="24"/>
          <w:lang w:val="es-ES"/>
        </w:rPr>
        <w:t>carácter académico que fueron útiles para el presente trabajo de investigación</w:t>
      </w:r>
      <w:r w:rsidR="00AA7AAA" w:rsidRPr="00C75A41">
        <w:rPr>
          <w:rFonts w:ascii="Times New Roman" w:hAnsi="Times New Roman" w:cs="Times New Roman"/>
          <w:sz w:val="24"/>
          <w:szCs w:val="24"/>
          <w:lang w:val="es-ES"/>
        </w:rPr>
        <w:t xml:space="preserve">. </w:t>
      </w:r>
      <w:r w:rsidR="009A1C82" w:rsidRPr="00C75A41">
        <w:rPr>
          <w:rFonts w:ascii="Times New Roman" w:hAnsi="Times New Roman" w:cs="Times New Roman"/>
          <w:sz w:val="24"/>
          <w:szCs w:val="24"/>
          <w:lang w:val="es-ES"/>
        </w:rPr>
        <w:t xml:space="preserve">la búsqueda se realizó empleado términos como “American </w:t>
      </w:r>
      <w:proofErr w:type="spellStart"/>
      <w:r w:rsidR="009A1C82" w:rsidRPr="00C75A41">
        <w:rPr>
          <w:rFonts w:ascii="Times New Roman" w:hAnsi="Times New Roman" w:cs="Times New Roman"/>
          <w:sz w:val="24"/>
          <w:szCs w:val="24"/>
          <w:lang w:val="es-ES"/>
        </w:rPr>
        <w:t>depositary</w:t>
      </w:r>
      <w:proofErr w:type="spellEnd"/>
      <w:r w:rsidR="009A1C82" w:rsidRPr="00C75A41">
        <w:rPr>
          <w:rFonts w:ascii="Times New Roman" w:hAnsi="Times New Roman" w:cs="Times New Roman"/>
          <w:sz w:val="24"/>
          <w:szCs w:val="24"/>
          <w:lang w:val="es-ES"/>
        </w:rPr>
        <w:t xml:space="preserve"> </w:t>
      </w:r>
      <w:proofErr w:type="spellStart"/>
      <w:r w:rsidR="009A1C82" w:rsidRPr="00C75A41">
        <w:rPr>
          <w:rFonts w:ascii="Times New Roman" w:hAnsi="Times New Roman" w:cs="Times New Roman"/>
          <w:sz w:val="24"/>
          <w:szCs w:val="24"/>
          <w:lang w:val="es-ES"/>
        </w:rPr>
        <w:t>receipt</w:t>
      </w:r>
      <w:proofErr w:type="spellEnd"/>
      <w:r w:rsidR="009A1C82" w:rsidRPr="00C75A41">
        <w:rPr>
          <w:rFonts w:ascii="Times New Roman" w:hAnsi="Times New Roman" w:cs="Times New Roman"/>
          <w:sz w:val="24"/>
          <w:szCs w:val="24"/>
          <w:lang w:val="es-ES"/>
        </w:rPr>
        <w:t xml:space="preserve">”, “American </w:t>
      </w:r>
      <w:proofErr w:type="spellStart"/>
      <w:r w:rsidR="009A1C82" w:rsidRPr="00C75A41">
        <w:rPr>
          <w:rFonts w:ascii="Times New Roman" w:hAnsi="Times New Roman" w:cs="Times New Roman"/>
          <w:sz w:val="24"/>
          <w:szCs w:val="24"/>
          <w:lang w:val="es-ES"/>
        </w:rPr>
        <w:t>depositary</w:t>
      </w:r>
      <w:proofErr w:type="spellEnd"/>
      <w:r w:rsidR="009A1C82" w:rsidRPr="00C75A41">
        <w:rPr>
          <w:rFonts w:ascii="Times New Roman" w:hAnsi="Times New Roman" w:cs="Times New Roman"/>
          <w:sz w:val="24"/>
          <w:szCs w:val="24"/>
          <w:lang w:val="es-ES"/>
        </w:rPr>
        <w:t xml:space="preserve"> </w:t>
      </w:r>
      <w:proofErr w:type="spellStart"/>
      <w:r w:rsidR="009A1C82" w:rsidRPr="00C75A41">
        <w:rPr>
          <w:rFonts w:ascii="Times New Roman" w:hAnsi="Times New Roman" w:cs="Times New Roman"/>
          <w:sz w:val="24"/>
          <w:szCs w:val="24"/>
          <w:lang w:val="es-ES"/>
        </w:rPr>
        <w:t>receipt</w:t>
      </w:r>
      <w:proofErr w:type="spellEnd"/>
      <w:r w:rsidR="009A1C82" w:rsidRPr="00C75A41">
        <w:rPr>
          <w:rFonts w:ascii="Times New Roman" w:hAnsi="Times New Roman" w:cs="Times New Roman"/>
          <w:sz w:val="24"/>
          <w:szCs w:val="24"/>
          <w:lang w:val="es-ES"/>
        </w:rPr>
        <w:t xml:space="preserve"> AND Latinoamérica” y “American </w:t>
      </w:r>
      <w:proofErr w:type="spellStart"/>
      <w:r w:rsidR="009A1C82" w:rsidRPr="00C75A41">
        <w:rPr>
          <w:rFonts w:ascii="Times New Roman" w:hAnsi="Times New Roman" w:cs="Times New Roman"/>
          <w:sz w:val="24"/>
          <w:szCs w:val="24"/>
          <w:lang w:val="es-ES"/>
        </w:rPr>
        <w:t>depositary</w:t>
      </w:r>
      <w:proofErr w:type="spellEnd"/>
      <w:r w:rsidR="009A1C82" w:rsidRPr="00C75A41">
        <w:rPr>
          <w:rFonts w:ascii="Times New Roman" w:hAnsi="Times New Roman" w:cs="Times New Roman"/>
          <w:sz w:val="24"/>
          <w:szCs w:val="24"/>
          <w:lang w:val="es-ES"/>
        </w:rPr>
        <w:t xml:space="preserve"> </w:t>
      </w:r>
      <w:proofErr w:type="spellStart"/>
      <w:r w:rsidR="009A1C82" w:rsidRPr="00C75A41">
        <w:rPr>
          <w:rFonts w:ascii="Times New Roman" w:hAnsi="Times New Roman" w:cs="Times New Roman"/>
          <w:sz w:val="24"/>
          <w:szCs w:val="24"/>
          <w:lang w:val="es-ES"/>
        </w:rPr>
        <w:t>receipt</w:t>
      </w:r>
      <w:proofErr w:type="spellEnd"/>
      <w:r w:rsidR="009A1C82" w:rsidRPr="00C75A41">
        <w:rPr>
          <w:rFonts w:ascii="Times New Roman" w:hAnsi="Times New Roman" w:cs="Times New Roman"/>
          <w:sz w:val="24"/>
          <w:szCs w:val="24"/>
          <w:lang w:val="es-ES"/>
        </w:rPr>
        <w:t xml:space="preserve"> AND empresas colombianas”.</w:t>
      </w:r>
    </w:p>
    <w:p w14:paraId="5129BE86" w14:textId="77777777" w:rsidR="00544371" w:rsidRPr="00301A82" w:rsidRDefault="00544371" w:rsidP="003D6253">
      <w:pPr>
        <w:spacing w:before="240" w:line="240" w:lineRule="auto"/>
        <w:ind w:firstLine="720"/>
        <w:rPr>
          <w:rFonts w:ascii="Times New Roman" w:hAnsi="Times New Roman" w:cs="Times New Roman"/>
          <w:b/>
          <w:bCs/>
          <w:sz w:val="24"/>
          <w:szCs w:val="24"/>
          <w:lang w:val="es-ES"/>
        </w:rPr>
      </w:pPr>
      <w:r w:rsidRPr="00301A82">
        <w:rPr>
          <w:rFonts w:ascii="Times New Roman" w:hAnsi="Times New Roman" w:cs="Times New Roman"/>
          <w:b/>
          <w:bCs/>
          <w:sz w:val="24"/>
          <w:szCs w:val="24"/>
          <w:lang w:val="es-ES"/>
        </w:rPr>
        <w:t xml:space="preserve">Procesamiento y análisis de datos </w:t>
      </w:r>
    </w:p>
    <w:p w14:paraId="497EF292" w14:textId="77777777" w:rsidR="00544371" w:rsidRDefault="00544371" w:rsidP="003D6253">
      <w:pPr>
        <w:spacing w:before="240" w:line="240" w:lineRule="auto"/>
        <w:ind w:firstLine="720"/>
        <w:rPr>
          <w:rFonts w:ascii="Times New Roman" w:hAnsi="Times New Roman" w:cs="Times New Roman"/>
          <w:sz w:val="24"/>
          <w:szCs w:val="24"/>
          <w:lang w:val="es-ES"/>
        </w:rPr>
      </w:pPr>
      <w:r>
        <w:rPr>
          <w:rFonts w:ascii="Times New Roman" w:hAnsi="Times New Roman" w:cs="Times New Roman"/>
          <w:sz w:val="24"/>
          <w:szCs w:val="24"/>
          <w:lang w:val="es-ES"/>
        </w:rPr>
        <w:t>Para el análisis de datos fue necesario contar con el programa Python a través del cual se lleva a cabo el análisis de la rentabilidad y riesgo de las ADR’s colombianas. Cabe resaltar que los datos proceden de la plataforma investing.com, a partir de la cual fue posible obtener la información en un formato Excel de cada una de las empresas objeto de estudio</w:t>
      </w:r>
      <w:r w:rsidR="00301A82">
        <w:rPr>
          <w:rFonts w:ascii="Times New Roman" w:hAnsi="Times New Roman" w:cs="Times New Roman"/>
          <w:sz w:val="24"/>
          <w:szCs w:val="24"/>
          <w:lang w:val="es-ES"/>
        </w:rPr>
        <w:t xml:space="preserve">. </w:t>
      </w:r>
    </w:p>
    <w:p w14:paraId="262CA75A" w14:textId="77777777" w:rsidR="00301A82" w:rsidRDefault="00301A82" w:rsidP="003D6253">
      <w:pPr>
        <w:spacing w:before="240" w:line="240" w:lineRule="auto"/>
        <w:ind w:firstLine="720"/>
        <w:rPr>
          <w:rFonts w:ascii="Times New Roman" w:hAnsi="Times New Roman" w:cs="Times New Roman"/>
          <w:sz w:val="24"/>
          <w:szCs w:val="24"/>
          <w:lang w:val="es-ES"/>
        </w:rPr>
      </w:pPr>
      <w:r>
        <w:rPr>
          <w:rFonts w:ascii="Times New Roman" w:hAnsi="Times New Roman" w:cs="Times New Roman"/>
          <w:sz w:val="24"/>
          <w:szCs w:val="24"/>
          <w:lang w:val="es-ES"/>
        </w:rPr>
        <w:t>Para calcular la variable rendimiento fue necesario calcular la información con la siguiente formula:</w:t>
      </w:r>
    </w:p>
    <w:p w14:paraId="1A1CF925" w14:textId="77777777" w:rsidR="00301A82" w:rsidRDefault="00301A82" w:rsidP="00992F4C">
      <w:pPr>
        <w:spacing w:before="240" w:line="240" w:lineRule="auto"/>
        <w:ind w:firstLine="720"/>
        <w:jc w:val="center"/>
        <w:rPr>
          <w:rFonts w:ascii="Times New Roman" w:eastAsiaTheme="minorEastAsia" w:hAnsi="Times New Roman" w:cs="Times New Roman"/>
          <w:sz w:val="24"/>
          <w:szCs w:val="24"/>
          <w:lang w:val="es-MX"/>
        </w:rPr>
      </w:pPr>
      <m:oMathPara>
        <m:oMath>
          <m:r>
            <w:rPr>
              <w:rFonts w:ascii="Cambria Math" w:hAnsi="Cambria Math" w:cs="Times New Roman"/>
              <w:sz w:val="24"/>
              <w:szCs w:val="24"/>
              <w:lang w:val="es-MX"/>
            </w:rPr>
            <m:t>Rendimiento=</m:t>
          </m:r>
          <m:f>
            <m:fPr>
              <m:ctrlPr>
                <w:rPr>
                  <w:rFonts w:ascii="Cambria Math" w:hAnsi="Cambria Math" w:cs="Times New Roman"/>
                  <w:i/>
                  <w:sz w:val="24"/>
                  <w:szCs w:val="24"/>
                  <w:lang w:val="es-MX"/>
                </w:rPr>
              </m:ctrlPr>
            </m:fPr>
            <m:num>
              <m:r>
                <w:rPr>
                  <w:rFonts w:ascii="Cambria Math" w:hAnsi="Cambria Math" w:cs="Times New Roman"/>
                  <w:sz w:val="24"/>
                  <w:szCs w:val="24"/>
                  <w:lang w:val="es-MX"/>
                </w:rPr>
                <m:t>(</m:t>
              </m:r>
              <m:sSub>
                <m:sSubPr>
                  <m:ctrlPr>
                    <w:rPr>
                      <w:rFonts w:ascii="Cambria Math" w:hAnsi="Cambria Math" w:cs="Times New Roman"/>
                      <w:i/>
                      <w:sz w:val="24"/>
                      <w:szCs w:val="24"/>
                      <w:lang w:val="es-MX"/>
                    </w:rPr>
                  </m:ctrlPr>
                </m:sSubPr>
                <m:e>
                  <m:r>
                    <w:rPr>
                      <w:rFonts w:ascii="Cambria Math" w:hAnsi="Cambria Math" w:cs="Times New Roman"/>
                      <w:sz w:val="24"/>
                      <w:szCs w:val="24"/>
                      <w:lang w:val="es-MX"/>
                    </w:rPr>
                    <m:t>Precio</m:t>
                  </m:r>
                </m:e>
                <m:sub>
                  <m:r>
                    <w:rPr>
                      <w:rFonts w:ascii="Cambria Math" w:hAnsi="Cambria Math" w:cs="Times New Roman"/>
                      <w:sz w:val="24"/>
                      <w:szCs w:val="24"/>
                      <w:lang w:val="es-MX"/>
                    </w:rPr>
                    <m:t>final</m:t>
                  </m:r>
                </m:sub>
              </m:sSub>
              <m:r>
                <w:rPr>
                  <w:rFonts w:ascii="Cambria Math" w:hAnsi="Cambria Math" w:cs="Times New Roman"/>
                  <w:sz w:val="24"/>
                  <w:szCs w:val="24"/>
                  <w:lang w:val="es-MX"/>
                </w:rPr>
                <m:t>-</m:t>
              </m:r>
              <m:sSub>
                <m:sSubPr>
                  <m:ctrlPr>
                    <w:rPr>
                      <w:rFonts w:ascii="Cambria Math" w:hAnsi="Cambria Math" w:cs="Times New Roman"/>
                      <w:i/>
                      <w:sz w:val="24"/>
                      <w:szCs w:val="24"/>
                      <w:lang w:val="es-MX"/>
                    </w:rPr>
                  </m:ctrlPr>
                </m:sSubPr>
                <m:e>
                  <m:r>
                    <w:rPr>
                      <w:rFonts w:ascii="Cambria Math" w:hAnsi="Cambria Math" w:cs="Times New Roman"/>
                      <w:sz w:val="24"/>
                      <w:szCs w:val="24"/>
                      <w:lang w:val="es-MX"/>
                    </w:rPr>
                    <m:t>Precio</m:t>
                  </m:r>
                </m:e>
                <m:sub>
                  <m:r>
                    <w:rPr>
                      <w:rFonts w:ascii="Cambria Math" w:hAnsi="Cambria Math" w:cs="Times New Roman"/>
                      <w:sz w:val="24"/>
                      <w:szCs w:val="24"/>
                      <w:lang w:val="es-MX"/>
                    </w:rPr>
                    <m:t>inicial</m:t>
                  </m:r>
                </m:sub>
              </m:sSub>
              <m:r>
                <w:rPr>
                  <w:rFonts w:ascii="Cambria Math" w:hAnsi="Cambria Math" w:cs="Times New Roman"/>
                  <w:sz w:val="24"/>
                  <w:szCs w:val="24"/>
                  <w:lang w:val="es-MX"/>
                </w:rPr>
                <m:t>)</m:t>
              </m:r>
            </m:num>
            <m:den>
              <m:sSub>
                <m:sSubPr>
                  <m:ctrlPr>
                    <w:rPr>
                      <w:rFonts w:ascii="Cambria Math" w:hAnsi="Cambria Math" w:cs="Times New Roman"/>
                      <w:i/>
                      <w:sz w:val="24"/>
                      <w:szCs w:val="24"/>
                      <w:lang w:val="es-MX"/>
                    </w:rPr>
                  </m:ctrlPr>
                </m:sSubPr>
                <m:e>
                  <m:r>
                    <w:rPr>
                      <w:rFonts w:ascii="Cambria Math" w:hAnsi="Cambria Math" w:cs="Times New Roman"/>
                      <w:sz w:val="24"/>
                      <w:szCs w:val="24"/>
                      <w:lang w:val="es-MX"/>
                    </w:rPr>
                    <m:t>Precio</m:t>
                  </m:r>
                </m:e>
                <m:sub>
                  <m:r>
                    <w:rPr>
                      <w:rFonts w:ascii="Cambria Math" w:hAnsi="Cambria Math" w:cs="Times New Roman"/>
                      <w:sz w:val="24"/>
                      <w:szCs w:val="24"/>
                      <w:lang w:val="es-MX"/>
                    </w:rPr>
                    <m:t>inicial</m:t>
                  </m:r>
                </m:sub>
              </m:sSub>
            </m:den>
          </m:f>
        </m:oMath>
      </m:oMathPara>
    </w:p>
    <w:p w14:paraId="4AE8CE26" w14:textId="77777777" w:rsidR="00301A82" w:rsidRPr="00301A82" w:rsidRDefault="00301A82" w:rsidP="003D6253">
      <w:pPr>
        <w:spacing w:before="240" w:line="240" w:lineRule="auto"/>
        <w:ind w:firstLine="720"/>
        <w:rPr>
          <w:rFonts w:ascii="Times New Roman" w:hAnsi="Times New Roman" w:cs="Times New Roman"/>
          <w:sz w:val="24"/>
          <w:szCs w:val="24"/>
          <w:lang w:val="es-ES"/>
        </w:rPr>
      </w:pPr>
      <w:r>
        <w:rPr>
          <w:rFonts w:ascii="Times New Roman" w:eastAsiaTheme="minorEastAsia" w:hAnsi="Times New Roman" w:cs="Times New Roman"/>
          <w:sz w:val="24"/>
          <w:szCs w:val="24"/>
          <w:lang w:val="es-MX"/>
        </w:rPr>
        <w:t>Cabe destacar que la ecuación planteada se aplicó en el lenguaje de programación de Python.</w:t>
      </w:r>
      <w:r w:rsidRPr="00301A82">
        <w:rPr>
          <w:rFonts w:ascii="Times New Roman" w:eastAsiaTheme="minorEastAsia" w:hAnsi="Times New Roman" w:cs="Times New Roman"/>
          <w:sz w:val="24"/>
          <w:szCs w:val="24"/>
          <w:lang w:val="es-MX"/>
        </w:rPr>
        <w:t xml:space="preserve">                                                           </w:t>
      </w:r>
    </w:p>
    <w:p w14:paraId="60396A1C" w14:textId="77777777" w:rsidR="00803156" w:rsidRPr="00803156" w:rsidRDefault="00803156" w:rsidP="003D6253">
      <w:pPr>
        <w:spacing w:before="240" w:line="240" w:lineRule="auto"/>
        <w:ind w:firstLine="720"/>
        <w:rPr>
          <w:rFonts w:ascii="Times New Roman" w:hAnsi="Times New Roman" w:cs="Times New Roman"/>
          <w:b/>
          <w:bCs/>
          <w:sz w:val="24"/>
          <w:szCs w:val="24"/>
          <w:lang w:val="es-ES"/>
        </w:rPr>
      </w:pPr>
      <w:r w:rsidRPr="00803156">
        <w:rPr>
          <w:rFonts w:ascii="Times New Roman" w:hAnsi="Times New Roman" w:cs="Times New Roman"/>
          <w:b/>
          <w:bCs/>
          <w:sz w:val="24"/>
          <w:szCs w:val="24"/>
          <w:lang w:val="es-ES"/>
        </w:rPr>
        <w:t>Criterios de inclusión y de exclusión</w:t>
      </w:r>
    </w:p>
    <w:p w14:paraId="15A89A01" w14:textId="77777777" w:rsidR="0039186E" w:rsidRDefault="00AA7AAA" w:rsidP="003D6253">
      <w:pPr>
        <w:spacing w:before="240" w:line="240" w:lineRule="auto"/>
        <w:ind w:firstLine="720"/>
        <w:rPr>
          <w:rFonts w:ascii="Times New Roman" w:hAnsi="Times New Roman" w:cs="Times New Roman"/>
          <w:sz w:val="24"/>
          <w:szCs w:val="24"/>
          <w:lang w:val="es-ES"/>
        </w:rPr>
      </w:pPr>
      <w:r>
        <w:rPr>
          <w:rFonts w:ascii="Times New Roman" w:hAnsi="Times New Roman" w:cs="Times New Roman"/>
          <w:sz w:val="24"/>
          <w:szCs w:val="24"/>
          <w:lang w:val="es-ES"/>
        </w:rPr>
        <w:t>Para efectuar la revisión bibliométrica fue necesaria la aplicación de criterios de inclusión y exclusión. En cuanto a los criterios de inclusión se tuvo en cuenta que los estudios estuvieran completos y claros en su formulación y aplicación metodológica</w:t>
      </w:r>
      <w:r w:rsidR="00803156">
        <w:rPr>
          <w:rFonts w:ascii="Times New Roman" w:hAnsi="Times New Roman" w:cs="Times New Roman"/>
          <w:sz w:val="24"/>
          <w:szCs w:val="24"/>
          <w:lang w:val="es-ES"/>
        </w:rPr>
        <w:t>. En cuanto a los documentos excluidos se dejó a un lado aquellos que solo aparecieran como resumen o que no se relacionaran con las variables de investigación.</w:t>
      </w:r>
    </w:p>
    <w:p w14:paraId="0028C613" w14:textId="77777777" w:rsidR="00992F4C" w:rsidRDefault="00992F4C" w:rsidP="003D6253">
      <w:pPr>
        <w:spacing w:before="240" w:line="240" w:lineRule="auto"/>
        <w:jc w:val="center"/>
        <w:rPr>
          <w:rFonts w:ascii="Times New Roman" w:hAnsi="Times New Roman" w:cs="Times New Roman"/>
          <w:b/>
          <w:bCs/>
          <w:sz w:val="24"/>
          <w:szCs w:val="24"/>
          <w:lang w:val="es-ES"/>
        </w:rPr>
      </w:pPr>
    </w:p>
    <w:p w14:paraId="374372BC" w14:textId="77777777" w:rsidR="00992F4C" w:rsidRDefault="00992F4C" w:rsidP="003D6253">
      <w:pPr>
        <w:spacing w:before="240" w:line="240" w:lineRule="auto"/>
        <w:jc w:val="center"/>
        <w:rPr>
          <w:rFonts w:ascii="Times New Roman" w:hAnsi="Times New Roman" w:cs="Times New Roman"/>
          <w:b/>
          <w:bCs/>
          <w:sz w:val="24"/>
          <w:szCs w:val="24"/>
          <w:lang w:val="es-ES"/>
        </w:rPr>
      </w:pPr>
    </w:p>
    <w:p w14:paraId="31957A1B" w14:textId="77777777" w:rsidR="007A3A7C" w:rsidRPr="00330F1C" w:rsidRDefault="007A3A7C" w:rsidP="003D6253">
      <w:pPr>
        <w:spacing w:before="240" w:line="240" w:lineRule="auto"/>
        <w:jc w:val="center"/>
        <w:rPr>
          <w:rFonts w:ascii="Times New Roman" w:hAnsi="Times New Roman" w:cs="Times New Roman"/>
          <w:b/>
          <w:bCs/>
          <w:sz w:val="24"/>
          <w:szCs w:val="24"/>
          <w:lang w:val="es-ES"/>
        </w:rPr>
      </w:pPr>
      <w:r w:rsidRPr="00330F1C">
        <w:rPr>
          <w:rFonts w:ascii="Times New Roman" w:hAnsi="Times New Roman" w:cs="Times New Roman"/>
          <w:b/>
          <w:bCs/>
          <w:sz w:val="24"/>
          <w:szCs w:val="24"/>
          <w:lang w:val="es-ES"/>
        </w:rPr>
        <w:lastRenderedPageBreak/>
        <w:t>Resultados</w:t>
      </w:r>
    </w:p>
    <w:p w14:paraId="4E7A1D92" w14:textId="77777777" w:rsidR="007A3A7C" w:rsidRDefault="007A3A7C" w:rsidP="003D6253">
      <w:pPr>
        <w:spacing w:before="240" w:line="240" w:lineRule="auto"/>
        <w:ind w:firstLine="720"/>
        <w:rPr>
          <w:rFonts w:ascii="Times New Roman" w:hAnsi="Times New Roman" w:cs="Times New Roman"/>
          <w:sz w:val="24"/>
          <w:szCs w:val="24"/>
          <w:lang w:val="es-ES"/>
        </w:rPr>
      </w:pPr>
      <w:r w:rsidRPr="007A3A7C">
        <w:rPr>
          <w:rFonts w:ascii="Times New Roman" w:hAnsi="Times New Roman" w:cs="Times New Roman"/>
          <w:sz w:val="24"/>
          <w:szCs w:val="24"/>
          <w:lang w:val="es-ES"/>
        </w:rPr>
        <w:t xml:space="preserve">Las empresas que cuentan con ADR´s obtienen beneficios por su cotización en las bolsas de valores americanas, que </w:t>
      </w:r>
      <w:r w:rsidR="00C75A41">
        <w:rPr>
          <w:rFonts w:ascii="Times New Roman" w:hAnsi="Times New Roman" w:cs="Times New Roman"/>
          <w:sz w:val="24"/>
          <w:szCs w:val="24"/>
          <w:lang w:val="es-ES"/>
        </w:rPr>
        <w:t xml:space="preserve">según Lozada (2017) </w:t>
      </w:r>
      <w:r w:rsidRPr="007A3A7C">
        <w:rPr>
          <w:rFonts w:ascii="Times New Roman" w:hAnsi="Times New Roman" w:cs="Times New Roman"/>
          <w:sz w:val="24"/>
          <w:szCs w:val="24"/>
          <w:lang w:val="es-ES"/>
        </w:rPr>
        <w:t xml:space="preserve">pueden </w:t>
      </w:r>
      <w:r w:rsidR="00C75A41">
        <w:rPr>
          <w:rFonts w:ascii="Times New Roman" w:hAnsi="Times New Roman" w:cs="Times New Roman"/>
          <w:sz w:val="24"/>
          <w:szCs w:val="24"/>
          <w:lang w:val="es-ES"/>
        </w:rPr>
        <w:t>representar</w:t>
      </w:r>
      <w:r w:rsidRPr="007A3A7C">
        <w:rPr>
          <w:rFonts w:ascii="Times New Roman" w:hAnsi="Times New Roman" w:cs="Times New Roman"/>
          <w:sz w:val="24"/>
          <w:szCs w:val="24"/>
          <w:lang w:val="es-ES"/>
        </w:rPr>
        <w:t xml:space="preserve"> estabilidad en los precios de sus acciones, mayor liquidez de la empresa permitiéndole a los inversionistas contar con una mayor diversificación de sus portafolios</w:t>
      </w:r>
      <w:r w:rsidR="00C75A41">
        <w:rPr>
          <w:rFonts w:ascii="Times New Roman" w:hAnsi="Times New Roman" w:cs="Times New Roman"/>
          <w:sz w:val="24"/>
          <w:szCs w:val="24"/>
          <w:lang w:val="es-ES"/>
        </w:rPr>
        <w:t xml:space="preserve">, </w:t>
      </w:r>
      <w:r w:rsidRPr="007A3A7C">
        <w:rPr>
          <w:rFonts w:ascii="Times New Roman" w:hAnsi="Times New Roman" w:cs="Times New Roman"/>
          <w:sz w:val="24"/>
          <w:szCs w:val="24"/>
          <w:lang w:val="es-ES"/>
        </w:rPr>
        <w:t>sin embargo, se enfrentan a riesgos a los que están expuestas, debido a que van más allá del funcionamiento de la compañía; entre estos riesgos se encuentran: el riesgo político ya que depende de la estabilidad socio-política del país de origen; el riesgo de tipo de cambio, ya que depende de la devaluación y reevaluación de la moneda local frente al dólar; y por último el riesgo inflacionario ocasionado por la perdidas de poder adquisitivo del país de origen.</w:t>
      </w:r>
    </w:p>
    <w:p w14:paraId="3DCD59FB" w14:textId="77777777" w:rsidR="00330F1C" w:rsidRPr="00330F1C" w:rsidRDefault="00C75A41" w:rsidP="003D6253">
      <w:pPr>
        <w:spacing w:before="240" w:line="240" w:lineRule="auto"/>
        <w:ind w:firstLine="720"/>
        <w:rPr>
          <w:rFonts w:ascii="Times New Roman" w:hAnsi="Times New Roman" w:cs="Times New Roman"/>
          <w:sz w:val="24"/>
          <w:szCs w:val="24"/>
          <w:lang w:val="es-ES"/>
        </w:rPr>
      </w:pPr>
      <w:r>
        <w:rPr>
          <w:rFonts w:ascii="Times New Roman" w:hAnsi="Times New Roman" w:cs="Times New Roman"/>
          <w:sz w:val="24"/>
          <w:szCs w:val="24"/>
          <w:lang w:val="es-ES"/>
        </w:rPr>
        <w:t xml:space="preserve">Al respecto </w:t>
      </w:r>
      <w:r w:rsidR="00A44E5C">
        <w:rPr>
          <w:rFonts w:ascii="Times New Roman" w:hAnsi="Times New Roman" w:cs="Times New Roman"/>
          <w:sz w:val="24"/>
          <w:szCs w:val="24"/>
          <w:lang w:val="es-ES"/>
        </w:rPr>
        <w:t xml:space="preserve">Concha y </w:t>
      </w:r>
      <w:r>
        <w:rPr>
          <w:rFonts w:ascii="Times New Roman" w:hAnsi="Times New Roman" w:cs="Times New Roman"/>
          <w:sz w:val="24"/>
          <w:szCs w:val="24"/>
          <w:lang w:val="es-ES"/>
        </w:rPr>
        <w:t>Jiménez (2020) establece</w:t>
      </w:r>
      <w:r w:rsidR="00A44E5C">
        <w:rPr>
          <w:rFonts w:ascii="Times New Roman" w:hAnsi="Times New Roman" w:cs="Times New Roman"/>
          <w:sz w:val="24"/>
          <w:szCs w:val="24"/>
          <w:lang w:val="es-ES"/>
        </w:rPr>
        <w:t>n</w:t>
      </w:r>
      <w:r>
        <w:rPr>
          <w:rFonts w:ascii="Times New Roman" w:hAnsi="Times New Roman" w:cs="Times New Roman"/>
          <w:sz w:val="24"/>
          <w:szCs w:val="24"/>
          <w:lang w:val="es-ES"/>
        </w:rPr>
        <w:t xml:space="preserve"> que e</w:t>
      </w:r>
      <w:r w:rsidR="00330F1C" w:rsidRPr="00330F1C">
        <w:rPr>
          <w:rFonts w:ascii="Times New Roman" w:hAnsi="Times New Roman" w:cs="Times New Roman"/>
          <w:sz w:val="24"/>
          <w:szCs w:val="24"/>
          <w:lang w:val="es-ES"/>
        </w:rPr>
        <w:t xml:space="preserve">xisten </w:t>
      </w:r>
      <w:r>
        <w:rPr>
          <w:rFonts w:ascii="Times New Roman" w:hAnsi="Times New Roman" w:cs="Times New Roman"/>
          <w:sz w:val="24"/>
          <w:szCs w:val="24"/>
          <w:lang w:val="es-ES"/>
        </w:rPr>
        <w:t>diversos</w:t>
      </w:r>
      <w:r w:rsidR="00330F1C" w:rsidRPr="00330F1C">
        <w:rPr>
          <w:rFonts w:ascii="Times New Roman" w:hAnsi="Times New Roman" w:cs="Times New Roman"/>
          <w:sz w:val="24"/>
          <w:szCs w:val="24"/>
          <w:lang w:val="es-ES"/>
        </w:rPr>
        <w:t xml:space="preserve"> factores macroeconómicos que pueden in</w:t>
      </w:r>
      <w:r>
        <w:rPr>
          <w:rFonts w:ascii="Times New Roman" w:hAnsi="Times New Roman" w:cs="Times New Roman"/>
          <w:sz w:val="24"/>
          <w:szCs w:val="24"/>
          <w:lang w:val="es-ES"/>
        </w:rPr>
        <w:t>cidir</w:t>
      </w:r>
      <w:r w:rsidR="00330F1C" w:rsidRPr="00330F1C">
        <w:rPr>
          <w:rFonts w:ascii="Times New Roman" w:hAnsi="Times New Roman" w:cs="Times New Roman"/>
          <w:sz w:val="24"/>
          <w:szCs w:val="24"/>
          <w:lang w:val="es-ES"/>
        </w:rPr>
        <w:t xml:space="preserve"> directamente a las bolsas de valores de un país, entre ellos se encuentra el </w:t>
      </w:r>
      <w:r>
        <w:rPr>
          <w:rFonts w:ascii="Times New Roman" w:hAnsi="Times New Roman" w:cs="Times New Roman"/>
          <w:sz w:val="24"/>
          <w:szCs w:val="24"/>
          <w:lang w:val="es-ES"/>
        </w:rPr>
        <w:t xml:space="preserve">aspecto </w:t>
      </w:r>
      <w:r w:rsidR="00330F1C" w:rsidRPr="00330F1C">
        <w:rPr>
          <w:rFonts w:ascii="Times New Roman" w:hAnsi="Times New Roman" w:cs="Times New Roman"/>
          <w:sz w:val="24"/>
          <w:szCs w:val="24"/>
          <w:lang w:val="es-ES"/>
        </w:rPr>
        <w:t>político</w:t>
      </w:r>
      <w:r>
        <w:rPr>
          <w:rFonts w:ascii="Times New Roman" w:hAnsi="Times New Roman" w:cs="Times New Roman"/>
          <w:sz w:val="24"/>
          <w:szCs w:val="24"/>
          <w:lang w:val="es-ES"/>
        </w:rPr>
        <w:t>,</w:t>
      </w:r>
      <w:r w:rsidR="00330F1C" w:rsidRPr="00330F1C">
        <w:rPr>
          <w:rFonts w:ascii="Times New Roman" w:hAnsi="Times New Roman" w:cs="Times New Roman"/>
          <w:sz w:val="24"/>
          <w:szCs w:val="24"/>
          <w:lang w:val="es-ES"/>
        </w:rPr>
        <w:t xml:space="preserve"> </w:t>
      </w:r>
      <w:r>
        <w:rPr>
          <w:rFonts w:ascii="Times New Roman" w:hAnsi="Times New Roman" w:cs="Times New Roman"/>
          <w:sz w:val="24"/>
          <w:szCs w:val="24"/>
          <w:lang w:val="es-ES"/>
        </w:rPr>
        <w:t>el cual</w:t>
      </w:r>
      <w:r w:rsidR="00330F1C" w:rsidRPr="00330F1C">
        <w:rPr>
          <w:rFonts w:ascii="Times New Roman" w:hAnsi="Times New Roman" w:cs="Times New Roman"/>
          <w:sz w:val="24"/>
          <w:szCs w:val="24"/>
          <w:lang w:val="es-ES"/>
        </w:rPr>
        <w:t xml:space="preserve"> juega un rol importante al momento de realizar inversiones en acciones. Cuando un país se encuentra en un año donde se toma una decisión trascendental como lo es la elección del gobierno nacional, se presentan comportamientos de mayor volatilidad en los precios de las acciones debido a la incertidumbre que se produce, esto puede crecer aún más si los resultados de dichas elecciones son inciertos</w:t>
      </w:r>
      <w:r>
        <w:rPr>
          <w:rFonts w:ascii="Times New Roman" w:hAnsi="Times New Roman" w:cs="Times New Roman"/>
          <w:sz w:val="24"/>
          <w:szCs w:val="24"/>
          <w:lang w:val="es-ES"/>
        </w:rPr>
        <w:t>.</w:t>
      </w:r>
    </w:p>
    <w:p w14:paraId="0A01DA43" w14:textId="77777777" w:rsidR="00330F1C" w:rsidRDefault="00330F1C" w:rsidP="003D6253">
      <w:pPr>
        <w:spacing w:before="240" w:line="240" w:lineRule="auto"/>
        <w:ind w:firstLine="720"/>
        <w:rPr>
          <w:rFonts w:ascii="Times New Roman" w:hAnsi="Times New Roman" w:cs="Times New Roman"/>
          <w:sz w:val="24"/>
          <w:szCs w:val="24"/>
          <w:lang w:val="es-ES"/>
        </w:rPr>
      </w:pPr>
      <w:r w:rsidRPr="00330F1C">
        <w:rPr>
          <w:rFonts w:ascii="Times New Roman" w:hAnsi="Times New Roman" w:cs="Times New Roman"/>
          <w:sz w:val="24"/>
          <w:szCs w:val="24"/>
          <w:lang w:val="es-ES"/>
        </w:rPr>
        <w:t xml:space="preserve">Por otra parte, </w:t>
      </w:r>
      <w:r w:rsidR="00C75A41">
        <w:rPr>
          <w:rFonts w:ascii="Times New Roman" w:hAnsi="Times New Roman" w:cs="Times New Roman"/>
          <w:sz w:val="24"/>
          <w:szCs w:val="24"/>
          <w:lang w:val="es-ES"/>
        </w:rPr>
        <w:t>Delgado (2018)</w:t>
      </w:r>
      <w:r w:rsidRPr="00330F1C">
        <w:rPr>
          <w:rFonts w:ascii="Times New Roman" w:hAnsi="Times New Roman" w:cs="Times New Roman"/>
          <w:sz w:val="24"/>
          <w:szCs w:val="24"/>
          <w:lang w:val="es-ES"/>
        </w:rPr>
        <w:t xml:space="preserve"> plantea que la emisión de las ADR’s se puede realizar mediante dos formas, la primera es la emisión de ADR’s sin patrocinio, en esta, un banco depositario es el encargado de iniciar un programa de ADR sin una participación contractual de la empresa, este tipo de emisión es impulsada por la demanda del mercado y los inversionistas, su negociación únicamente se da en el mercado extrabursátil (OTC) en los Estados Unidos; la segunda es la emisión de ADR’s con patrocinio, la empresa participa en el proceso y patrocina la emisión de la ADR, con esta, la empresa puede captar capital o simplemente tener presencia en un mercado de primer nivel como lo es el americano.</w:t>
      </w:r>
    </w:p>
    <w:p w14:paraId="041EFB49" w14:textId="77777777" w:rsidR="00330F1C" w:rsidRPr="00330F1C" w:rsidRDefault="00330F1C" w:rsidP="00992F4C">
      <w:pPr>
        <w:spacing w:before="240" w:line="240" w:lineRule="auto"/>
        <w:rPr>
          <w:rFonts w:ascii="Times New Roman" w:hAnsi="Times New Roman" w:cs="Times New Roman"/>
          <w:b/>
          <w:bCs/>
          <w:sz w:val="24"/>
          <w:szCs w:val="24"/>
          <w:lang w:val="es-ES"/>
        </w:rPr>
      </w:pPr>
      <w:r w:rsidRPr="00330F1C">
        <w:rPr>
          <w:rFonts w:ascii="Times New Roman" w:hAnsi="Times New Roman" w:cs="Times New Roman"/>
          <w:b/>
          <w:bCs/>
          <w:sz w:val="24"/>
          <w:szCs w:val="24"/>
          <w:lang w:val="es-ES"/>
        </w:rPr>
        <w:t>Análisis de factores macroeconómicos y microeconómicos de las ADR’s colombianas</w:t>
      </w:r>
    </w:p>
    <w:p w14:paraId="339AC2D0" w14:textId="77777777" w:rsidR="00330F1C" w:rsidRDefault="00330F1C" w:rsidP="003D6253">
      <w:pPr>
        <w:spacing w:before="240" w:line="240" w:lineRule="auto"/>
        <w:ind w:firstLine="720"/>
        <w:rPr>
          <w:rFonts w:ascii="Times New Roman" w:hAnsi="Times New Roman" w:cs="Times New Roman"/>
          <w:sz w:val="24"/>
          <w:szCs w:val="24"/>
          <w:lang w:val="es-ES"/>
        </w:rPr>
      </w:pPr>
      <w:r>
        <w:rPr>
          <w:rFonts w:ascii="Times New Roman" w:hAnsi="Times New Roman" w:cs="Times New Roman"/>
          <w:sz w:val="24"/>
          <w:szCs w:val="24"/>
          <w:lang w:val="es-ES"/>
        </w:rPr>
        <w:t>De acuerdo con</w:t>
      </w:r>
      <w:r w:rsidR="00333E67">
        <w:rPr>
          <w:rFonts w:ascii="Times New Roman" w:hAnsi="Times New Roman" w:cs="Times New Roman"/>
          <w:sz w:val="24"/>
          <w:szCs w:val="24"/>
          <w:lang w:val="es-ES"/>
        </w:rPr>
        <w:t xml:space="preserve"> </w:t>
      </w:r>
      <w:r w:rsidR="00333E67" w:rsidRPr="00333E67">
        <w:rPr>
          <w:rFonts w:ascii="Times New Roman" w:hAnsi="Times New Roman" w:cs="Times New Roman"/>
          <w:noProof/>
          <w:sz w:val="24"/>
          <w:szCs w:val="24"/>
          <w:lang w:val="es-ES"/>
        </w:rPr>
        <w:t xml:space="preserve">Cardona </w:t>
      </w:r>
      <w:r w:rsidR="00333E67">
        <w:rPr>
          <w:rFonts w:ascii="Times New Roman" w:hAnsi="Times New Roman" w:cs="Times New Roman"/>
          <w:noProof/>
          <w:sz w:val="24"/>
          <w:szCs w:val="24"/>
          <w:lang w:val="es-ES"/>
        </w:rPr>
        <w:t>y</w:t>
      </w:r>
      <w:r w:rsidR="00333E67" w:rsidRPr="00333E67">
        <w:rPr>
          <w:rFonts w:ascii="Times New Roman" w:hAnsi="Times New Roman" w:cs="Times New Roman"/>
          <w:noProof/>
          <w:sz w:val="24"/>
          <w:szCs w:val="24"/>
          <w:lang w:val="es-ES"/>
        </w:rPr>
        <w:t xml:space="preserve"> Londoño</w:t>
      </w:r>
      <w:r w:rsidR="00333E67">
        <w:rPr>
          <w:rFonts w:ascii="Times New Roman" w:hAnsi="Times New Roman" w:cs="Times New Roman"/>
          <w:noProof/>
          <w:sz w:val="24"/>
          <w:szCs w:val="24"/>
          <w:lang w:val="es-ES"/>
        </w:rPr>
        <w:t xml:space="preserve"> (</w:t>
      </w:r>
      <w:r w:rsidR="00333E67" w:rsidRPr="00333E67">
        <w:rPr>
          <w:rFonts w:ascii="Times New Roman" w:hAnsi="Times New Roman" w:cs="Times New Roman"/>
          <w:noProof/>
          <w:sz w:val="24"/>
          <w:szCs w:val="24"/>
          <w:lang w:val="es-ES"/>
        </w:rPr>
        <w:t>2013)</w:t>
      </w:r>
      <w:r>
        <w:rPr>
          <w:rFonts w:ascii="Times New Roman" w:hAnsi="Times New Roman" w:cs="Times New Roman"/>
          <w:sz w:val="24"/>
          <w:szCs w:val="24"/>
          <w:lang w:val="es-ES"/>
        </w:rPr>
        <w:t xml:space="preserve"> para el caso de las ADR’s es crucial conocer y comprender el contexto económico del país en el que opera la entidad emisora, por lo cual</w:t>
      </w:r>
      <w:r w:rsidR="00333E67">
        <w:rPr>
          <w:rFonts w:ascii="Times New Roman" w:hAnsi="Times New Roman" w:cs="Times New Roman"/>
          <w:sz w:val="24"/>
          <w:szCs w:val="24"/>
          <w:lang w:val="es-ES"/>
        </w:rPr>
        <w:t xml:space="preserve"> </w:t>
      </w:r>
      <w:r w:rsidR="00333E67" w:rsidRPr="00333E67">
        <w:rPr>
          <w:rFonts w:ascii="Times New Roman" w:hAnsi="Times New Roman" w:cs="Times New Roman"/>
          <w:noProof/>
          <w:sz w:val="24"/>
          <w:szCs w:val="24"/>
          <w:lang w:val="es-ES"/>
        </w:rPr>
        <w:t xml:space="preserve">González, Guzman, </w:t>
      </w:r>
      <w:r w:rsidR="00333E67">
        <w:rPr>
          <w:rFonts w:ascii="Times New Roman" w:hAnsi="Times New Roman" w:cs="Times New Roman"/>
          <w:noProof/>
          <w:sz w:val="24"/>
          <w:szCs w:val="24"/>
          <w:lang w:val="es-ES"/>
        </w:rPr>
        <w:t>y</w:t>
      </w:r>
      <w:r w:rsidR="00333E67" w:rsidRPr="00333E67">
        <w:rPr>
          <w:rFonts w:ascii="Times New Roman" w:hAnsi="Times New Roman" w:cs="Times New Roman"/>
          <w:noProof/>
          <w:sz w:val="24"/>
          <w:szCs w:val="24"/>
          <w:lang w:val="es-ES"/>
        </w:rPr>
        <w:t xml:space="preserve"> Trujillo</w:t>
      </w:r>
      <w:r w:rsidR="00333E67">
        <w:rPr>
          <w:rFonts w:ascii="Times New Roman" w:hAnsi="Times New Roman" w:cs="Times New Roman"/>
          <w:noProof/>
          <w:sz w:val="24"/>
          <w:szCs w:val="24"/>
          <w:lang w:val="es-ES"/>
        </w:rPr>
        <w:t xml:space="preserve"> (</w:t>
      </w:r>
      <w:r w:rsidR="00333E67" w:rsidRPr="00333E67">
        <w:rPr>
          <w:rFonts w:ascii="Times New Roman" w:hAnsi="Times New Roman" w:cs="Times New Roman"/>
          <w:noProof/>
          <w:sz w:val="24"/>
          <w:szCs w:val="24"/>
          <w:lang w:val="es-ES"/>
        </w:rPr>
        <w:t>2011)</w:t>
      </w:r>
      <w:r w:rsidR="00333E67">
        <w:rPr>
          <w:rFonts w:ascii="Times New Roman" w:hAnsi="Times New Roman" w:cs="Times New Roman"/>
          <w:noProof/>
          <w:sz w:val="24"/>
          <w:szCs w:val="24"/>
          <w:lang w:val="es-ES"/>
        </w:rPr>
        <w:t xml:space="preserve"> </w:t>
      </w:r>
      <w:r>
        <w:rPr>
          <w:rFonts w:ascii="Times New Roman" w:hAnsi="Times New Roman" w:cs="Times New Roman"/>
          <w:sz w:val="24"/>
          <w:szCs w:val="24"/>
          <w:lang w:val="es-ES"/>
        </w:rPr>
        <w:t xml:space="preserve">afirma que inicialmente es necesario comprender que para efectuar estos tipos de emisión es importante primero cumplir con los </w:t>
      </w:r>
      <w:r w:rsidR="00333E67">
        <w:rPr>
          <w:rFonts w:ascii="Times New Roman" w:hAnsi="Times New Roman" w:cs="Times New Roman"/>
          <w:sz w:val="24"/>
          <w:szCs w:val="24"/>
          <w:lang w:val="es-ES"/>
        </w:rPr>
        <w:t>más</w:t>
      </w:r>
      <w:r>
        <w:rPr>
          <w:rFonts w:ascii="Times New Roman" w:hAnsi="Times New Roman" w:cs="Times New Roman"/>
          <w:sz w:val="24"/>
          <w:szCs w:val="24"/>
          <w:lang w:val="es-ES"/>
        </w:rPr>
        <w:t xml:space="preserve"> rigurosos requerimientos de declaración de información financiera como un aspecto microeconómico esencial a tener en cuenta. Dicho lo anterior, es posible inferir </w:t>
      </w:r>
      <w:r w:rsidRPr="00330F1C">
        <w:rPr>
          <w:rFonts w:ascii="Times New Roman" w:hAnsi="Times New Roman" w:cs="Times New Roman"/>
          <w:sz w:val="24"/>
          <w:szCs w:val="24"/>
          <w:lang w:val="es-ES"/>
        </w:rPr>
        <w:t>que la cultura corporativa inmersa en estas organizaciones emisoras, debería estar en la capacidad de gestionar la información recopilada, tratada y presentada dado que debe cumplir con los más altos estándares</w:t>
      </w:r>
      <w:r>
        <w:rPr>
          <w:rFonts w:ascii="Times New Roman" w:hAnsi="Times New Roman" w:cs="Times New Roman"/>
          <w:sz w:val="24"/>
          <w:szCs w:val="24"/>
          <w:lang w:val="es-ES"/>
        </w:rPr>
        <w:t xml:space="preserve">, puesto que tal información es uno de los puentes que </w:t>
      </w:r>
      <w:r w:rsidR="00333E67">
        <w:rPr>
          <w:rFonts w:ascii="Times New Roman" w:hAnsi="Times New Roman" w:cs="Times New Roman"/>
          <w:sz w:val="24"/>
          <w:szCs w:val="24"/>
          <w:lang w:val="es-ES"/>
        </w:rPr>
        <w:t>les</w:t>
      </w:r>
      <w:r>
        <w:rPr>
          <w:rFonts w:ascii="Times New Roman" w:hAnsi="Times New Roman" w:cs="Times New Roman"/>
          <w:sz w:val="24"/>
          <w:szCs w:val="24"/>
          <w:lang w:val="es-ES"/>
        </w:rPr>
        <w:t xml:space="preserve"> posibilita a las organizaciones el acceso a estos mercados. </w:t>
      </w:r>
    </w:p>
    <w:p w14:paraId="53306E3E" w14:textId="77777777" w:rsidR="009A2ACB" w:rsidRDefault="009A2ACB" w:rsidP="003D6253">
      <w:pPr>
        <w:spacing w:before="240" w:line="240" w:lineRule="auto"/>
        <w:ind w:firstLine="720"/>
        <w:rPr>
          <w:rFonts w:ascii="Times New Roman" w:hAnsi="Times New Roman" w:cs="Times New Roman"/>
          <w:sz w:val="24"/>
          <w:szCs w:val="24"/>
          <w:lang w:val="es-ES"/>
        </w:rPr>
      </w:pPr>
      <w:r>
        <w:rPr>
          <w:rFonts w:ascii="Times New Roman" w:hAnsi="Times New Roman" w:cs="Times New Roman"/>
          <w:sz w:val="24"/>
          <w:szCs w:val="24"/>
          <w:lang w:val="es-ES"/>
        </w:rPr>
        <w:t xml:space="preserve">De esta manera, cabe situar </w:t>
      </w:r>
      <w:r w:rsidRPr="009A2ACB">
        <w:rPr>
          <w:rFonts w:ascii="Times New Roman" w:hAnsi="Times New Roman" w:cs="Times New Roman"/>
          <w:sz w:val="24"/>
          <w:szCs w:val="24"/>
          <w:lang w:val="es-ES"/>
        </w:rPr>
        <w:t>el análisis a nivel empresarial, dado que son estos agentes económicos los que pueden emitir este tipo de depósitos accionarios. En lo que concierne a la información financiera, existen variables como Precio, utilidades, ingresos, Costos de producción y/o servicio y Share de Mercado, siendo estas variables microeconómicas las que influyen en el desempeño de una empresa en la economía nacional.</w:t>
      </w:r>
      <w:r>
        <w:rPr>
          <w:rFonts w:ascii="Times New Roman" w:hAnsi="Times New Roman" w:cs="Times New Roman"/>
          <w:sz w:val="24"/>
          <w:szCs w:val="24"/>
          <w:lang w:val="es-ES"/>
        </w:rPr>
        <w:t xml:space="preserve"> En esta medida y ubicándose en el contexto colombiano,</w:t>
      </w:r>
      <w:r w:rsidR="00A44E5C">
        <w:rPr>
          <w:rFonts w:ascii="Times New Roman" w:hAnsi="Times New Roman" w:cs="Times New Roman"/>
          <w:sz w:val="24"/>
          <w:szCs w:val="24"/>
          <w:lang w:val="es-ES"/>
        </w:rPr>
        <w:t xml:space="preserve"> </w:t>
      </w:r>
      <w:r w:rsidR="00A44E5C" w:rsidRPr="00A44E5C">
        <w:rPr>
          <w:rFonts w:ascii="Times New Roman" w:hAnsi="Times New Roman" w:cs="Times New Roman"/>
          <w:noProof/>
          <w:sz w:val="24"/>
          <w:szCs w:val="24"/>
          <w:lang w:val="es-ES"/>
        </w:rPr>
        <w:t>Acevedo, Fleisman, Montoya</w:t>
      </w:r>
      <w:r w:rsidR="00A44E5C">
        <w:rPr>
          <w:rFonts w:ascii="Times New Roman" w:hAnsi="Times New Roman" w:cs="Times New Roman"/>
          <w:noProof/>
          <w:sz w:val="24"/>
          <w:szCs w:val="24"/>
          <w:lang w:val="es-ES"/>
        </w:rPr>
        <w:t xml:space="preserve"> y</w:t>
      </w:r>
      <w:r w:rsidR="00A44E5C" w:rsidRPr="00A44E5C">
        <w:rPr>
          <w:rFonts w:ascii="Times New Roman" w:hAnsi="Times New Roman" w:cs="Times New Roman"/>
          <w:noProof/>
          <w:sz w:val="24"/>
          <w:szCs w:val="24"/>
          <w:lang w:val="es-ES"/>
        </w:rPr>
        <w:t xml:space="preserve"> Mora</w:t>
      </w:r>
      <w:r w:rsidR="00A44E5C">
        <w:rPr>
          <w:rFonts w:ascii="Times New Roman" w:hAnsi="Times New Roman" w:cs="Times New Roman"/>
          <w:noProof/>
          <w:sz w:val="24"/>
          <w:szCs w:val="24"/>
          <w:lang w:val="es-ES"/>
        </w:rPr>
        <w:t xml:space="preserve"> (</w:t>
      </w:r>
      <w:r w:rsidR="00A44E5C" w:rsidRPr="00A44E5C">
        <w:rPr>
          <w:rFonts w:ascii="Times New Roman" w:hAnsi="Times New Roman" w:cs="Times New Roman"/>
          <w:noProof/>
          <w:sz w:val="24"/>
          <w:szCs w:val="24"/>
          <w:lang w:val="es-ES"/>
        </w:rPr>
        <w:t>2010)</w:t>
      </w:r>
      <w:r w:rsidR="00A44E5C">
        <w:rPr>
          <w:rFonts w:ascii="Times New Roman" w:hAnsi="Times New Roman" w:cs="Times New Roman"/>
          <w:sz w:val="24"/>
          <w:szCs w:val="24"/>
          <w:lang w:val="es-ES"/>
        </w:rPr>
        <w:t xml:space="preserve"> </w:t>
      </w:r>
      <w:r>
        <w:rPr>
          <w:rFonts w:ascii="Times New Roman" w:hAnsi="Times New Roman" w:cs="Times New Roman"/>
          <w:sz w:val="24"/>
          <w:szCs w:val="24"/>
          <w:lang w:val="es-ES"/>
        </w:rPr>
        <w:t xml:space="preserve">afirma que los factores de precio influyen de manera directa en los rendimientos de una organización, donde a su vez es importante considerar los costos de producción y el escenario </w:t>
      </w:r>
      <w:r>
        <w:rPr>
          <w:rFonts w:ascii="Times New Roman" w:hAnsi="Times New Roman" w:cs="Times New Roman"/>
          <w:sz w:val="24"/>
          <w:szCs w:val="24"/>
          <w:lang w:val="es-ES"/>
        </w:rPr>
        <w:lastRenderedPageBreak/>
        <w:t>inflacionario, que al mismo tiempo se asocian con factores como el costo de los insumos y el gasto individual de los hogares.</w:t>
      </w:r>
    </w:p>
    <w:p w14:paraId="040221B6" w14:textId="77777777" w:rsidR="009A2ACB" w:rsidRDefault="00686016" w:rsidP="003D6253">
      <w:pPr>
        <w:spacing w:before="240" w:line="240" w:lineRule="auto"/>
        <w:ind w:firstLine="720"/>
        <w:rPr>
          <w:rFonts w:ascii="Times New Roman" w:hAnsi="Times New Roman" w:cs="Times New Roman"/>
          <w:sz w:val="24"/>
          <w:szCs w:val="24"/>
          <w:lang w:val="es-ES"/>
        </w:rPr>
      </w:pPr>
      <w:r>
        <w:rPr>
          <w:rFonts w:ascii="Times New Roman" w:hAnsi="Times New Roman" w:cs="Times New Roman"/>
          <w:sz w:val="24"/>
          <w:szCs w:val="24"/>
          <w:lang w:val="es-ES"/>
        </w:rPr>
        <w:t>De la misma manera se plantea que el PIB</w:t>
      </w:r>
      <w:r w:rsidR="009A2ACB" w:rsidRPr="009A2ACB">
        <w:rPr>
          <w:rFonts w:ascii="Times New Roman" w:hAnsi="Times New Roman" w:cs="Times New Roman"/>
          <w:sz w:val="24"/>
          <w:szCs w:val="24"/>
          <w:lang w:val="es-ES"/>
        </w:rPr>
        <w:t xml:space="preserve"> (Producto Interno Bruto)</w:t>
      </w:r>
      <w:r>
        <w:rPr>
          <w:rFonts w:ascii="Times New Roman" w:hAnsi="Times New Roman" w:cs="Times New Roman"/>
          <w:sz w:val="24"/>
          <w:szCs w:val="24"/>
          <w:lang w:val="es-ES"/>
        </w:rPr>
        <w:t xml:space="preserve"> se puede afectar a partir de las variables microeconómicas establecidas. De acuerdo con </w:t>
      </w:r>
      <w:r w:rsidRPr="00A44E5C">
        <w:rPr>
          <w:rFonts w:ascii="Times New Roman" w:hAnsi="Times New Roman" w:cs="Times New Roman"/>
          <w:noProof/>
          <w:sz w:val="24"/>
          <w:szCs w:val="24"/>
          <w:lang w:val="es-ES"/>
        </w:rPr>
        <w:t>Acevedo, Fleisman, Montoya</w:t>
      </w:r>
      <w:r>
        <w:rPr>
          <w:rFonts w:ascii="Times New Roman" w:hAnsi="Times New Roman" w:cs="Times New Roman"/>
          <w:noProof/>
          <w:sz w:val="24"/>
          <w:szCs w:val="24"/>
          <w:lang w:val="es-ES"/>
        </w:rPr>
        <w:t xml:space="preserve"> y</w:t>
      </w:r>
      <w:r w:rsidRPr="00A44E5C">
        <w:rPr>
          <w:rFonts w:ascii="Times New Roman" w:hAnsi="Times New Roman" w:cs="Times New Roman"/>
          <w:noProof/>
          <w:sz w:val="24"/>
          <w:szCs w:val="24"/>
          <w:lang w:val="es-ES"/>
        </w:rPr>
        <w:t xml:space="preserve"> Mora</w:t>
      </w:r>
      <w:r>
        <w:rPr>
          <w:rFonts w:ascii="Times New Roman" w:hAnsi="Times New Roman" w:cs="Times New Roman"/>
          <w:noProof/>
          <w:sz w:val="24"/>
          <w:szCs w:val="24"/>
          <w:lang w:val="es-ES"/>
        </w:rPr>
        <w:t xml:space="preserve"> (</w:t>
      </w:r>
      <w:r w:rsidRPr="00A44E5C">
        <w:rPr>
          <w:rFonts w:ascii="Times New Roman" w:hAnsi="Times New Roman" w:cs="Times New Roman"/>
          <w:noProof/>
          <w:sz w:val="24"/>
          <w:szCs w:val="24"/>
          <w:lang w:val="es-ES"/>
        </w:rPr>
        <w:t>2010)</w:t>
      </w:r>
      <w:r w:rsidR="009A2ACB" w:rsidRPr="009A2ACB">
        <w:rPr>
          <w:rFonts w:ascii="Times New Roman" w:hAnsi="Times New Roman" w:cs="Times New Roman"/>
          <w:sz w:val="24"/>
          <w:szCs w:val="24"/>
          <w:lang w:val="es-ES"/>
        </w:rPr>
        <w:t xml:space="preserve"> </w:t>
      </w:r>
      <w:r>
        <w:rPr>
          <w:rFonts w:ascii="Times New Roman" w:hAnsi="Times New Roman" w:cs="Times New Roman"/>
          <w:sz w:val="24"/>
          <w:szCs w:val="24"/>
          <w:lang w:val="es-ES"/>
        </w:rPr>
        <w:t>este e</w:t>
      </w:r>
      <w:r w:rsidR="009A2ACB" w:rsidRPr="009A2ACB">
        <w:rPr>
          <w:rFonts w:ascii="Times New Roman" w:hAnsi="Times New Roman" w:cs="Times New Roman"/>
          <w:sz w:val="24"/>
          <w:szCs w:val="24"/>
          <w:lang w:val="es-ES"/>
        </w:rPr>
        <w:t>s uno de los indicadores más fieles referentes al bienestar o malestar de una nación (en términos económicos)</w:t>
      </w:r>
      <w:r>
        <w:rPr>
          <w:rFonts w:ascii="Times New Roman" w:hAnsi="Times New Roman" w:cs="Times New Roman"/>
          <w:sz w:val="24"/>
          <w:szCs w:val="24"/>
          <w:lang w:val="es-ES"/>
        </w:rPr>
        <w:t xml:space="preserve">. </w:t>
      </w:r>
      <w:r w:rsidR="009A2ACB" w:rsidRPr="009A2ACB">
        <w:rPr>
          <w:rFonts w:ascii="Times New Roman" w:hAnsi="Times New Roman" w:cs="Times New Roman"/>
          <w:sz w:val="24"/>
          <w:szCs w:val="24"/>
          <w:lang w:val="es-ES"/>
        </w:rPr>
        <w:t>Un PIB con crecimiento año a año es un síntoma de un buen ambiente macroeconómico, el cual se traduce en un mercado con quizá mayor consumo por parte de los individuos y con mayor gasto por parte de las empresas, incluso, el factor de inversión juega un papel fundamental en la economía (dado que los individuos o las sociedades pueden, si así lo desean, invertir en el sector financiero -beneficiando a ADR’s correspondientes a, por ejemplo, Grupo Aval/Bancolombia- o bien, invertir por medio de la compra de acciones de empresas con alta reputación a nivel local -como por ejemplo Ecopetrol-. Si nos situamos en las ADR’s del sector financiero, como lo son las correspondientes a Grupo Aval o Bancolombia, encontramos que las variables tales como el Ahorro individual y las tasas de interés juegan un papel fundamental en este caso para que el entorno financiero del país y, puntualmente, su actividad económica genere mayores rendimientos; en el caso de unos márgenes de ingreso considerables y un ambiente con una inflación relativamente controlada, los individuos pueden destinar parte de su renta habitual para el ahorro, lo cual, ante un flujo mayor de capitales de ahorro permitirá al sistema financiero tener mayor liquidez para poder colocar este dinero nuevamente en el sistema por medio de créditos.</w:t>
      </w:r>
    </w:p>
    <w:p w14:paraId="60D3E6C8" w14:textId="77777777" w:rsidR="00330F1C" w:rsidRDefault="009C74AB" w:rsidP="003D6253">
      <w:pPr>
        <w:spacing w:before="240" w:line="240" w:lineRule="auto"/>
        <w:ind w:firstLine="720"/>
        <w:rPr>
          <w:rFonts w:ascii="Times New Roman" w:eastAsia="Calibri" w:hAnsi="Times New Roman" w:cs="Times New Roman"/>
          <w:bCs/>
          <w:iCs/>
          <w:color w:val="000000" w:themeColor="text1"/>
          <w:sz w:val="24"/>
          <w:szCs w:val="24"/>
        </w:rPr>
      </w:pPr>
      <w:r w:rsidRPr="004B5652">
        <w:rPr>
          <w:rFonts w:ascii="Times New Roman" w:eastAsia="Calibri" w:hAnsi="Times New Roman" w:cs="Times New Roman"/>
          <w:bCs/>
          <w:iCs/>
          <w:color w:val="000000" w:themeColor="text1"/>
          <w:sz w:val="24"/>
          <w:szCs w:val="24"/>
        </w:rPr>
        <w:t>Por último, es importante abordar el análisis del déficit público, dado que un gobierno con un endeudamiento progresivo genera bajos niveles de confianza a nivel internacional, lo cual inevitablemente afecta a las empresas operantes en el territorio nacional. El estado es uno de los actores con mayor influencia en los rendimientos de las empresas colombianas, teniendo en cuenta que las políticas macroeconómicas que pueda gestionar impactarán inevitablemente en las organizaciones (siendo este uno de los mayores riesgos y/o oportunidades para las entidades locales).</w:t>
      </w:r>
    </w:p>
    <w:p w14:paraId="3C49722E" w14:textId="77777777" w:rsidR="00B32FB9" w:rsidRDefault="009C74AB" w:rsidP="003D6253">
      <w:pPr>
        <w:spacing w:before="240" w:line="240" w:lineRule="auto"/>
        <w:ind w:firstLine="720"/>
        <w:rPr>
          <w:rFonts w:ascii="Times New Roman" w:hAnsi="Times New Roman" w:cs="Times New Roman"/>
          <w:sz w:val="24"/>
          <w:szCs w:val="24"/>
          <w:lang w:val="es-ES"/>
        </w:rPr>
      </w:pPr>
      <w:r w:rsidRPr="009C74AB">
        <w:rPr>
          <w:rFonts w:ascii="Times New Roman" w:hAnsi="Times New Roman" w:cs="Times New Roman"/>
          <w:sz w:val="24"/>
          <w:szCs w:val="24"/>
          <w:lang w:val="es-ES"/>
        </w:rPr>
        <w:t>Para las ADR’s colombianas, se observa que existen múltiples factores económicos, como lo son las tasas de interés, la política monetaria, la tasa de inflación, condiciones del mercado, tasas de cambio, entre otras, que pueden influir significativamente en la valoración de estas en el mercado estadounidense. El entorno nacional se mostró positivo, dado que se evidenciaron reducciones en las cifras de desempleo y, para el año 2021, se evidenció un crecimiento relevante del PIB (10,6%), sin embargo, se observó que variables como la inflación han crecido continuamente durante los años. Bajo este escenario, no resta más que realizar un constante seguimiento a las variables del entorno nacional con el fin de evaluar qué sucederá con los ADR’s nacionales en el corto plazo.</w:t>
      </w:r>
    </w:p>
    <w:p w14:paraId="68AE1B49" w14:textId="77777777" w:rsidR="00B32FB9" w:rsidRPr="00544371" w:rsidRDefault="00B32FB9" w:rsidP="00992F4C">
      <w:pPr>
        <w:spacing w:before="240" w:line="240" w:lineRule="auto"/>
        <w:rPr>
          <w:rFonts w:ascii="Times New Roman" w:hAnsi="Times New Roman" w:cs="Times New Roman"/>
          <w:b/>
          <w:bCs/>
          <w:sz w:val="24"/>
          <w:szCs w:val="24"/>
          <w:lang w:val="es-ES"/>
        </w:rPr>
      </w:pPr>
      <w:r w:rsidRPr="00544371">
        <w:rPr>
          <w:rFonts w:ascii="Times New Roman" w:hAnsi="Times New Roman" w:cs="Times New Roman"/>
          <w:b/>
          <w:bCs/>
          <w:sz w:val="24"/>
          <w:szCs w:val="24"/>
          <w:lang w:val="es-ES"/>
        </w:rPr>
        <w:t xml:space="preserve">Análisis del sector y contexto de algunas empresas importantes integrantes de las ADR´s colombianas </w:t>
      </w:r>
    </w:p>
    <w:p w14:paraId="7A59B1C8" w14:textId="77777777" w:rsidR="00E73479" w:rsidRPr="003D6253" w:rsidRDefault="00E73479" w:rsidP="00992F4C">
      <w:pPr>
        <w:spacing w:before="240" w:line="240" w:lineRule="auto"/>
        <w:rPr>
          <w:rFonts w:ascii="Times New Roman" w:hAnsi="Times New Roman" w:cs="Times New Roman"/>
          <w:b/>
          <w:bCs/>
          <w:sz w:val="24"/>
          <w:szCs w:val="24"/>
          <w:lang w:val="es-ES"/>
        </w:rPr>
      </w:pPr>
      <w:r w:rsidRPr="003D6253">
        <w:rPr>
          <w:rFonts w:ascii="Times New Roman" w:hAnsi="Times New Roman" w:cs="Times New Roman"/>
          <w:b/>
          <w:bCs/>
          <w:sz w:val="24"/>
          <w:szCs w:val="24"/>
          <w:lang w:val="es-ES"/>
        </w:rPr>
        <w:t>Análisis de la tendencia de los precios del periodo 2015-2021 de las ADR´s colombianas.</w:t>
      </w:r>
    </w:p>
    <w:p w14:paraId="5E0645EF" w14:textId="77777777" w:rsidR="00992F4C" w:rsidRDefault="00992F4C" w:rsidP="00992F4C">
      <w:pPr>
        <w:spacing w:before="240" w:line="240" w:lineRule="auto"/>
        <w:ind w:firstLine="720"/>
        <w:rPr>
          <w:rFonts w:ascii="Times New Roman" w:hAnsi="Times New Roman" w:cs="Times New Roman"/>
          <w:sz w:val="24"/>
          <w:szCs w:val="24"/>
          <w:lang w:val="es-ES"/>
        </w:rPr>
      </w:pPr>
      <w:r w:rsidRPr="00B32FB9">
        <w:rPr>
          <w:rFonts w:ascii="Times New Roman" w:hAnsi="Times New Roman" w:cs="Times New Roman"/>
          <w:sz w:val="24"/>
          <w:szCs w:val="24"/>
          <w:lang w:val="es-ES"/>
        </w:rPr>
        <w:t xml:space="preserve">Se realizó un análisis técnico al gráfico de la cotización de las empresas: Bancolombia, Ecopetrol, Tecnoglass y Grupo Aval por medio de la plataforma </w:t>
      </w:r>
      <w:proofErr w:type="spellStart"/>
      <w:r w:rsidRPr="00B32FB9">
        <w:rPr>
          <w:rFonts w:ascii="Times New Roman" w:hAnsi="Times New Roman" w:cs="Times New Roman"/>
          <w:sz w:val="24"/>
          <w:szCs w:val="24"/>
          <w:lang w:val="es-ES"/>
        </w:rPr>
        <w:t>TradingView</w:t>
      </w:r>
      <w:proofErr w:type="spellEnd"/>
      <w:r w:rsidRPr="00B32FB9">
        <w:rPr>
          <w:rFonts w:ascii="Times New Roman" w:hAnsi="Times New Roman" w:cs="Times New Roman"/>
          <w:sz w:val="24"/>
          <w:szCs w:val="24"/>
          <w:lang w:val="es-ES"/>
        </w:rPr>
        <w:t xml:space="preserve"> </w:t>
      </w:r>
      <w:r>
        <w:rPr>
          <w:rFonts w:ascii="Times New Roman" w:hAnsi="Times New Roman" w:cs="Times New Roman"/>
          <w:sz w:val="24"/>
          <w:szCs w:val="24"/>
          <w:lang w:val="es-ES"/>
        </w:rPr>
        <w:t xml:space="preserve">para </w:t>
      </w:r>
      <w:r w:rsidRPr="00B32FB9">
        <w:rPr>
          <w:rFonts w:ascii="Times New Roman" w:hAnsi="Times New Roman" w:cs="Times New Roman"/>
          <w:sz w:val="24"/>
          <w:szCs w:val="24"/>
          <w:lang w:val="es-ES"/>
        </w:rPr>
        <w:t>el período de estudio</w:t>
      </w:r>
      <w:r>
        <w:rPr>
          <w:rFonts w:ascii="Times New Roman" w:hAnsi="Times New Roman" w:cs="Times New Roman"/>
          <w:sz w:val="24"/>
          <w:szCs w:val="24"/>
          <w:lang w:val="es-ES"/>
        </w:rPr>
        <w:t xml:space="preserve">. </w:t>
      </w:r>
    </w:p>
    <w:p w14:paraId="31B5BA77" w14:textId="77777777" w:rsidR="00992F4C" w:rsidRDefault="00992F4C" w:rsidP="003D6253">
      <w:pPr>
        <w:spacing w:before="240" w:line="240" w:lineRule="auto"/>
        <w:ind w:firstLine="720"/>
        <w:rPr>
          <w:rFonts w:ascii="Times New Roman" w:hAnsi="Times New Roman" w:cs="Times New Roman"/>
          <w:b/>
          <w:bCs/>
          <w:sz w:val="24"/>
          <w:szCs w:val="24"/>
          <w:lang w:val="es-ES"/>
        </w:rPr>
      </w:pPr>
    </w:p>
    <w:p w14:paraId="23BF3C80" w14:textId="77777777" w:rsidR="00E73479" w:rsidRPr="00C75A41" w:rsidRDefault="00E73479" w:rsidP="003D6253">
      <w:pPr>
        <w:spacing w:before="240" w:line="240" w:lineRule="auto"/>
        <w:ind w:firstLine="720"/>
        <w:rPr>
          <w:rFonts w:ascii="Times New Roman" w:hAnsi="Times New Roman" w:cs="Times New Roman"/>
          <w:b/>
          <w:bCs/>
          <w:sz w:val="24"/>
          <w:szCs w:val="24"/>
          <w:lang w:val="es-ES"/>
        </w:rPr>
      </w:pPr>
      <w:r w:rsidRPr="00C75A41">
        <w:rPr>
          <w:rFonts w:ascii="Times New Roman" w:hAnsi="Times New Roman" w:cs="Times New Roman"/>
          <w:b/>
          <w:bCs/>
          <w:sz w:val="24"/>
          <w:szCs w:val="24"/>
          <w:lang w:val="es-ES"/>
        </w:rPr>
        <w:lastRenderedPageBreak/>
        <w:t>Bancolombia</w:t>
      </w:r>
    </w:p>
    <w:p w14:paraId="7A80C919" w14:textId="77777777" w:rsidR="00333E67" w:rsidRPr="00333E67" w:rsidRDefault="00333E67" w:rsidP="00333E67">
      <w:pPr>
        <w:pStyle w:val="Descripcin"/>
        <w:keepNext/>
        <w:rPr>
          <w:rFonts w:ascii="Times New Roman" w:hAnsi="Times New Roman" w:cs="Times New Roman"/>
          <w:b/>
          <w:bCs/>
          <w:i w:val="0"/>
          <w:iCs w:val="0"/>
          <w:color w:val="auto"/>
          <w:sz w:val="22"/>
          <w:szCs w:val="22"/>
        </w:rPr>
      </w:pPr>
      <w:r w:rsidRPr="00333E67">
        <w:rPr>
          <w:rFonts w:ascii="Times New Roman" w:hAnsi="Times New Roman" w:cs="Times New Roman"/>
          <w:b/>
          <w:bCs/>
          <w:i w:val="0"/>
          <w:iCs w:val="0"/>
          <w:color w:val="auto"/>
          <w:sz w:val="22"/>
          <w:szCs w:val="22"/>
        </w:rPr>
        <w:t xml:space="preserve">Gráfica </w:t>
      </w:r>
      <w:r w:rsidRPr="00333E67">
        <w:rPr>
          <w:rFonts w:ascii="Times New Roman" w:hAnsi="Times New Roman" w:cs="Times New Roman"/>
          <w:b/>
          <w:bCs/>
          <w:i w:val="0"/>
          <w:iCs w:val="0"/>
          <w:color w:val="auto"/>
          <w:sz w:val="22"/>
          <w:szCs w:val="22"/>
        </w:rPr>
        <w:fldChar w:fldCharType="begin"/>
      </w:r>
      <w:r w:rsidRPr="00333E67">
        <w:rPr>
          <w:rFonts w:ascii="Times New Roman" w:hAnsi="Times New Roman" w:cs="Times New Roman"/>
          <w:b/>
          <w:bCs/>
          <w:i w:val="0"/>
          <w:iCs w:val="0"/>
          <w:color w:val="auto"/>
          <w:sz w:val="22"/>
          <w:szCs w:val="22"/>
        </w:rPr>
        <w:instrText xml:space="preserve"> SEQ Gráfica \* ARABIC </w:instrText>
      </w:r>
      <w:r w:rsidRPr="00333E67">
        <w:rPr>
          <w:rFonts w:ascii="Times New Roman" w:hAnsi="Times New Roman" w:cs="Times New Roman"/>
          <w:b/>
          <w:bCs/>
          <w:i w:val="0"/>
          <w:iCs w:val="0"/>
          <w:color w:val="auto"/>
          <w:sz w:val="22"/>
          <w:szCs w:val="22"/>
        </w:rPr>
        <w:fldChar w:fldCharType="separate"/>
      </w:r>
      <w:r>
        <w:rPr>
          <w:rFonts w:ascii="Times New Roman" w:hAnsi="Times New Roman" w:cs="Times New Roman"/>
          <w:b/>
          <w:bCs/>
          <w:i w:val="0"/>
          <w:iCs w:val="0"/>
          <w:noProof/>
          <w:color w:val="auto"/>
          <w:sz w:val="22"/>
          <w:szCs w:val="22"/>
        </w:rPr>
        <w:t>1</w:t>
      </w:r>
      <w:r w:rsidRPr="00333E67">
        <w:rPr>
          <w:rFonts w:ascii="Times New Roman" w:hAnsi="Times New Roman" w:cs="Times New Roman"/>
          <w:b/>
          <w:bCs/>
          <w:i w:val="0"/>
          <w:iCs w:val="0"/>
          <w:color w:val="auto"/>
          <w:sz w:val="22"/>
          <w:szCs w:val="22"/>
        </w:rPr>
        <w:fldChar w:fldCharType="end"/>
      </w:r>
      <w:r w:rsidRPr="00333E67">
        <w:rPr>
          <w:rFonts w:ascii="Times New Roman" w:hAnsi="Times New Roman" w:cs="Times New Roman"/>
          <w:b/>
          <w:bCs/>
          <w:i w:val="0"/>
          <w:iCs w:val="0"/>
          <w:color w:val="auto"/>
          <w:sz w:val="22"/>
          <w:szCs w:val="22"/>
        </w:rPr>
        <w:t xml:space="preserve"> </w:t>
      </w:r>
    </w:p>
    <w:p w14:paraId="39AFB2AD" w14:textId="77777777" w:rsidR="00333E67" w:rsidRPr="00333E67" w:rsidRDefault="00333E67" w:rsidP="00333E67">
      <w:pPr>
        <w:pStyle w:val="Descripcin"/>
        <w:keepNext/>
        <w:rPr>
          <w:rFonts w:ascii="Times New Roman" w:hAnsi="Times New Roman" w:cs="Times New Roman"/>
          <w:color w:val="auto"/>
          <w:sz w:val="22"/>
          <w:szCs w:val="22"/>
        </w:rPr>
      </w:pPr>
      <w:r w:rsidRPr="00333E67">
        <w:rPr>
          <w:rFonts w:ascii="Times New Roman" w:hAnsi="Times New Roman" w:cs="Times New Roman"/>
          <w:color w:val="auto"/>
          <w:sz w:val="22"/>
          <w:szCs w:val="22"/>
        </w:rPr>
        <w:t>Análisis de tendencia Bancolombia</w:t>
      </w:r>
    </w:p>
    <w:p w14:paraId="24667496" w14:textId="77777777" w:rsidR="00E73479" w:rsidRPr="00E73479" w:rsidRDefault="00E73479" w:rsidP="00333E67">
      <w:pPr>
        <w:spacing w:before="240" w:line="240" w:lineRule="auto"/>
        <w:jc w:val="center"/>
        <w:rPr>
          <w:rFonts w:ascii="Times New Roman" w:eastAsia="Calibri" w:hAnsi="Times New Roman" w:cs="Times New Roman"/>
          <w:noProof/>
          <w:sz w:val="24"/>
          <w:szCs w:val="24"/>
          <w:lang w:eastAsia="es-CO"/>
        </w:rPr>
      </w:pPr>
      <w:r>
        <w:rPr>
          <w:rFonts w:ascii="Times New Roman" w:hAnsi="Times New Roman" w:cs="Times New Roman"/>
          <w:noProof/>
          <w:sz w:val="24"/>
          <w:szCs w:val="24"/>
          <w:lang w:val="es-ES"/>
        </w:rPr>
        <w:drawing>
          <wp:inline distT="0" distB="0" distL="0" distR="0" wp14:anchorId="14749B3C" wp14:editId="1037675A">
            <wp:extent cx="5624423" cy="2702133"/>
            <wp:effectExtent l="0" t="0" r="0" b="317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57929" cy="2718230"/>
                    </a:xfrm>
                    <a:prstGeom prst="rect">
                      <a:avLst/>
                    </a:prstGeom>
                    <a:noFill/>
                  </pic:spPr>
                </pic:pic>
              </a:graphicData>
            </a:graphic>
          </wp:inline>
        </w:drawing>
      </w:r>
    </w:p>
    <w:p w14:paraId="09935AE3" w14:textId="77777777" w:rsidR="00E73479" w:rsidRDefault="00E73479" w:rsidP="003D6253">
      <w:pPr>
        <w:tabs>
          <w:tab w:val="left" w:pos="2895"/>
        </w:tabs>
        <w:spacing w:before="240" w:line="240" w:lineRule="auto"/>
        <w:ind w:firstLine="720"/>
        <w:rPr>
          <w:rFonts w:ascii="Times New Roman" w:hAnsi="Times New Roman" w:cs="Times New Roman"/>
          <w:sz w:val="24"/>
        </w:rPr>
      </w:pPr>
      <w:r>
        <w:rPr>
          <w:rFonts w:ascii="Times New Roman" w:hAnsi="Times New Roman" w:cs="Times New Roman"/>
          <w:sz w:val="24"/>
          <w:lang w:val="es-ES"/>
        </w:rPr>
        <w:t>Nota: en la imagen se puede observar un a</w:t>
      </w:r>
      <w:r w:rsidRPr="00C5015F">
        <w:rPr>
          <w:rFonts w:ascii="Times New Roman" w:hAnsi="Times New Roman" w:cs="Times New Roman"/>
          <w:sz w:val="24"/>
          <w:lang w:val="es-ES"/>
        </w:rPr>
        <w:t>nálisis de tendencia Bancolombia.</w:t>
      </w:r>
      <w:r w:rsidR="003D6253">
        <w:rPr>
          <w:rFonts w:ascii="Times New Roman" w:hAnsi="Times New Roman" w:cs="Times New Roman"/>
          <w:sz w:val="24"/>
          <w:lang w:val="es-ES"/>
        </w:rPr>
        <w:t xml:space="preserve"> </w:t>
      </w:r>
      <w:r w:rsidRPr="00D56520">
        <w:rPr>
          <w:rFonts w:ascii="Times New Roman" w:hAnsi="Times New Roman" w:cs="Times New Roman"/>
          <w:sz w:val="24"/>
        </w:rPr>
        <w:t>Fuente:</w:t>
      </w:r>
      <w:r>
        <w:rPr>
          <w:rFonts w:ascii="Times New Roman" w:hAnsi="Times New Roman" w:cs="Times New Roman"/>
          <w:sz w:val="24"/>
        </w:rPr>
        <w:t xml:space="preserve"> elaboración propia (2022).</w:t>
      </w:r>
    </w:p>
    <w:p w14:paraId="7512795F" w14:textId="77777777" w:rsidR="003D6253" w:rsidRDefault="003D6253" w:rsidP="003D6253">
      <w:pPr>
        <w:tabs>
          <w:tab w:val="left" w:pos="2895"/>
        </w:tabs>
        <w:spacing w:before="240" w:line="240" w:lineRule="auto"/>
        <w:ind w:firstLine="720"/>
        <w:rPr>
          <w:rFonts w:ascii="Times New Roman" w:hAnsi="Times New Roman" w:cs="Times New Roman"/>
          <w:sz w:val="24"/>
        </w:rPr>
      </w:pPr>
      <w:r>
        <w:rPr>
          <w:rFonts w:ascii="Times New Roman" w:hAnsi="Times New Roman" w:cs="Times New Roman"/>
          <w:sz w:val="24"/>
        </w:rPr>
        <w:t xml:space="preserve">La gráfica antes expuesta indica el mayor soporte </w:t>
      </w:r>
      <w:r w:rsidR="001A6970">
        <w:rPr>
          <w:rFonts w:ascii="Times New Roman" w:hAnsi="Times New Roman" w:cs="Times New Roman"/>
          <w:sz w:val="24"/>
        </w:rPr>
        <w:t>y</w:t>
      </w:r>
      <w:r>
        <w:rPr>
          <w:rFonts w:ascii="Times New Roman" w:hAnsi="Times New Roman" w:cs="Times New Roman"/>
          <w:sz w:val="24"/>
        </w:rPr>
        <w:t xml:space="preserve"> resistencia durante el periodo 2015-2021</w:t>
      </w:r>
      <w:r w:rsidR="004F20CF">
        <w:rPr>
          <w:rFonts w:ascii="Times New Roman" w:hAnsi="Times New Roman" w:cs="Times New Roman"/>
          <w:sz w:val="24"/>
        </w:rPr>
        <w:t xml:space="preserve">, donde se indican </w:t>
      </w:r>
      <w:r w:rsidR="001A6970" w:rsidRPr="001A6970">
        <w:rPr>
          <w:rFonts w:ascii="Times New Roman" w:hAnsi="Times New Roman" w:cs="Times New Roman"/>
          <w:sz w:val="24"/>
        </w:rPr>
        <w:t>en los precios $16.27 USD y $56.10 USD respectivamente</w:t>
      </w:r>
      <w:r w:rsidR="004F20CF">
        <w:rPr>
          <w:rFonts w:ascii="Times New Roman" w:hAnsi="Times New Roman" w:cs="Times New Roman"/>
          <w:sz w:val="24"/>
        </w:rPr>
        <w:t xml:space="preserve"> para los años analizados. Igualmente,</w:t>
      </w:r>
      <w:r w:rsidR="001A6970" w:rsidRPr="001A6970">
        <w:rPr>
          <w:rFonts w:ascii="Times New Roman" w:hAnsi="Times New Roman" w:cs="Times New Roman"/>
          <w:sz w:val="24"/>
        </w:rPr>
        <w:t xml:space="preserve"> se puede </w:t>
      </w:r>
      <w:r w:rsidR="004F20CF">
        <w:rPr>
          <w:rFonts w:ascii="Times New Roman" w:hAnsi="Times New Roman" w:cs="Times New Roman"/>
          <w:sz w:val="24"/>
        </w:rPr>
        <w:t>destacar que</w:t>
      </w:r>
      <w:r w:rsidR="00B16952">
        <w:rPr>
          <w:rFonts w:ascii="Times New Roman" w:hAnsi="Times New Roman" w:cs="Times New Roman"/>
          <w:sz w:val="24"/>
        </w:rPr>
        <w:t xml:space="preserve"> Bancolombia ha presentado</w:t>
      </w:r>
      <w:r w:rsidR="001A6970" w:rsidRPr="001A6970">
        <w:rPr>
          <w:rFonts w:ascii="Times New Roman" w:hAnsi="Times New Roman" w:cs="Times New Roman"/>
          <w:sz w:val="24"/>
        </w:rPr>
        <w:t xml:space="preserve"> un comportamiento </w:t>
      </w:r>
      <w:r w:rsidR="00B16952">
        <w:rPr>
          <w:rFonts w:ascii="Times New Roman" w:hAnsi="Times New Roman" w:cs="Times New Roman"/>
          <w:sz w:val="24"/>
        </w:rPr>
        <w:t>decreciente en el</w:t>
      </w:r>
      <w:r w:rsidR="001A6970" w:rsidRPr="001A6970">
        <w:rPr>
          <w:rFonts w:ascii="Times New Roman" w:hAnsi="Times New Roman" w:cs="Times New Roman"/>
          <w:sz w:val="24"/>
        </w:rPr>
        <w:t xml:space="preserve"> mes de marzo del 2020 donde tuvo una variación aproximada del -47.73% lo que equivale a $2</w:t>
      </w:r>
      <w:r w:rsidR="00B16952">
        <w:rPr>
          <w:rFonts w:ascii="Times New Roman" w:hAnsi="Times New Roman" w:cs="Times New Roman"/>
          <w:sz w:val="24"/>
        </w:rPr>
        <w:t>9.73</w:t>
      </w:r>
      <w:r w:rsidR="001A6970" w:rsidRPr="001A6970">
        <w:rPr>
          <w:rFonts w:ascii="Times New Roman" w:hAnsi="Times New Roman" w:cs="Times New Roman"/>
          <w:sz w:val="24"/>
        </w:rPr>
        <w:t xml:space="preserve"> USD por debajo al valor en el que abrió la acción</w:t>
      </w:r>
      <w:r w:rsidR="00B16952">
        <w:rPr>
          <w:rFonts w:ascii="Times New Roman" w:hAnsi="Times New Roman" w:cs="Times New Roman"/>
          <w:sz w:val="24"/>
        </w:rPr>
        <w:t xml:space="preserve"> en el primer mes del mismo año</w:t>
      </w:r>
      <w:r w:rsidR="001A6970" w:rsidRPr="001A6970">
        <w:rPr>
          <w:rFonts w:ascii="Times New Roman" w:hAnsi="Times New Roman" w:cs="Times New Roman"/>
          <w:sz w:val="24"/>
        </w:rPr>
        <w:t xml:space="preserve">, esto se debe a la declaración por parte de la OMS de la pandemia por COVID-19, lo cual generó una crisis mundial que se vio reflejada en todas las bolsas de valores del mundo y todas las acciones se vieron afectadas a causa del temor y la incertidumbre que esto generó en los inversores; un hecho importante a resaltar es que durante la historia de cotización de Bancolombia en NYSE el último soporte fuerte se dio hacia el mes de octubre del 2008, cuando alcanzó a cotizar en un precio de $15.00 USD a causa de la burbuja inmobiliaria de Estados Unidos llamada Crisis Hipotecaria </w:t>
      </w:r>
      <w:proofErr w:type="spellStart"/>
      <w:r w:rsidR="001A6970" w:rsidRPr="001A6970">
        <w:rPr>
          <w:rFonts w:ascii="Times New Roman" w:hAnsi="Times New Roman" w:cs="Times New Roman"/>
          <w:sz w:val="24"/>
        </w:rPr>
        <w:t>Subprime</w:t>
      </w:r>
      <w:proofErr w:type="spellEnd"/>
      <w:r w:rsidR="001A6970" w:rsidRPr="001A6970">
        <w:rPr>
          <w:rFonts w:ascii="Times New Roman" w:hAnsi="Times New Roman" w:cs="Times New Roman"/>
          <w:sz w:val="24"/>
        </w:rPr>
        <w:t>.</w:t>
      </w:r>
    </w:p>
    <w:p w14:paraId="60C73994" w14:textId="77777777" w:rsidR="00B16952" w:rsidRDefault="00B16952" w:rsidP="003D6253">
      <w:pPr>
        <w:tabs>
          <w:tab w:val="left" w:pos="2895"/>
        </w:tabs>
        <w:spacing w:before="240" w:line="240" w:lineRule="auto"/>
        <w:ind w:firstLine="720"/>
        <w:rPr>
          <w:rFonts w:ascii="Times New Roman" w:hAnsi="Times New Roman" w:cs="Times New Roman"/>
          <w:sz w:val="24"/>
        </w:rPr>
      </w:pPr>
      <w:r>
        <w:rPr>
          <w:rFonts w:ascii="Times New Roman" w:hAnsi="Times New Roman" w:cs="Times New Roman"/>
          <w:sz w:val="24"/>
        </w:rPr>
        <w:t>Cabe mencionar que a partir del 2016 las acciones presentan un repunte y un crecimiento importante, siendo el año 2019 el mas prospero del periodo analizado puesto que es en este año donde las mismas presentan un soporte ubicado en 35.52 USD y una resistencia tope de 51.38 USD (Resistencia 1) en el precio de las acciones, lo que indica un adecuado desempeño de la empresa, la cual estuvo</w:t>
      </w:r>
      <w:r w:rsidRPr="00B16952">
        <w:rPr>
          <w:rFonts w:ascii="Times New Roman" w:hAnsi="Times New Roman" w:cs="Times New Roman"/>
          <w:sz w:val="24"/>
        </w:rPr>
        <w:t xml:space="preserve"> en un nuevo crecimiento que </w:t>
      </w:r>
      <w:r>
        <w:rPr>
          <w:rFonts w:ascii="Times New Roman" w:hAnsi="Times New Roman" w:cs="Times New Roman"/>
          <w:sz w:val="24"/>
        </w:rPr>
        <w:t xml:space="preserve">para el 2020 se </w:t>
      </w:r>
      <w:proofErr w:type="spellStart"/>
      <w:r>
        <w:rPr>
          <w:rFonts w:ascii="Times New Roman" w:hAnsi="Times New Roman" w:cs="Times New Roman"/>
          <w:sz w:val="24"/>
        </w:rPr>
        <w:t>vió</w:t>
      </w:r>
      <w:proofErr w:type="spellEnd"/>
      <w:r>
        <w:rPr>
          <w:rFonts w:ascii="Times New Roman" w:hAnsi="Times New Roman" w:cs="Times New Roman"/>
          <w:sz w:val="24"/>
        </w:rPr>
        <w:t xml:space="preserve"> </w:t>
      </w:r>
      <w:r w:rsidRPr="00B16952">
        <w:rPr>
          <w:rFonts w:ascii="Times New Roman" w:hAnsi="Times New Roman" w:cs="Times New Roman"/>
          <w:sz w:val="24"/>
        </w:rPr>
        <w:t>afectado por la pandemia</w:t>
      </w:r>
      <w:r w:rsidR="00833E84">
        <w:rPr>
          <w:rFonts w:ascii="Times New Roman" w:hAnsi="Times New Roman" w:cs="Times New Roman"/>
          <w:sz w:val="24"/>
        </w:rPr>
        <w:t>.</w:t>
      </w:r>
    </w:p>
    <w:p w14:paraId="55F8DD92" w14:textId="77777777" w:rsidR="00833E84" w:rsidRPr="00333E67" w:rsidRDefault="00833E84" w:rsidP="003D6253">
      <w:pPr>
        <w:tabs>
          <w:tab w:val="left" w:pos="2895"/>
        </w:tabs>
        <w:spacing w:before="240" w:line="240" w:lineRule="auto"/>
        <w:ind w:firstLine="720"/>
        <w:rPr>
          <w:rFonts w:ascii="Times New Roman" w:hAnsi="Times New Roman" w:cs="Times New Roman"/>
          <w:b/>
          <w:bCs/>
          <w:sz w:val="24"/>
        </w:rPr>
      </w:pPr>
      <w:r w:rsidRPr="00333E67">
        <w:rPr>
          <w:rFonts w:ascii="Times New Roman" w:hAnsi="Times New Roman" w:cs="Times New Roman"/>
          <w:b/>
          <w:bCs/>
          <w:sz w:val="24"/>
        </w:rPr>
        <w:t xml:space="preserve">Ecopetrol </w:t>
      </w:r>
    </w:p>
    <w:p w14:paraId="47591F14" w14:textId="77777777" w:rsidR="00333E67" w:rsidRPr="00333E67" w:rsidRDefault="00333E67" w:rsidP="00333E67">
      <w:pPr>
        <w:pStyle w:val="Descripcin"/>
        <w:keepNext/>
        <w:rPr>
          <w:rFonts w:ascii="Times New Roman" w:hAnsi="Times New Roman" w:cs="Times New Roman"/>
          <w:b/>
          <w:bCs/>
          <w:i w:val="0"/>
          <w:iCs w:val="0"/>
          <w:color w:val="auto"/>
          <w:sz w:val="22"/>
          <w:szCs w:val="22"/>
        </w:rPr>
      </w:pPr>
      <w:r w:rsidRPr="00333E67">
        <w:rPr>
          <w:rFonts w:ascii="Times New Roman" w:hAnsi="Times New Roman" w:cs="Times New Roman"/>
          <w:b/>
          <w:bCs/>
          <w:i w:val="0"/>
          <w:iCs w:val="0"/>
          <w:color w:val="auto"/>
          <w:sz w:val="22"/>
          <w:szCs w:val="22"/>
        </w:rPr>
        <w:lastRenderedPageBreak/>
        <w:t xml:space="preserve">Gráfica </w:t>
      </w:r>
      <w:r w:rsidRPr="00333E67">
        <w:rPr>
          <w:rFonts w:ascii="Times New Roman" w:hAnsi="Times New Roman" w:cs="Times New Roman"/>
          <w:b/>
          <w:bCs/>
          <w:i w:val="0"/>
          <w:iCs w:val="0"/>
          <w:color w:val="auto"/>
          <w:sz w:val="22"/>
          <w:szCs w:val="22"/>
        </w:rPr>
        <w:fldChar w:fldCharType="begin"/>
      </w:r>
      <w:r w:rsidRPr="00333E67">
        <w:rPr>
          <w:rFonts w:ascii="Times New Roman" w:hAnsi="Times New Roman" w:cs="Times New Roman"/>
          <w:b/>
          <w:bCs/>
          <w:i w:val="0"/>
          <w:iCs w:val="0"/>
          <w:color w:val="auto"/>
          <w:sz w:val="22"/>
          <w:szCs w:val="22"/>
        </w:rPr>
        <w:instrText xml:space="preserve"> SEQ Gráfica \* ARABIC </w:instrText>
      </w:r>
      <w:r w:rsidRPr="00333E67">
        <w:rPr>
          <w:rFonts w:ascii="Times New Roman" w:hAnsi="Times New Roman" w:cs="Times New Roman"/>
          <w:b/>
          <w:bCs/>
          <w:i w:val="0"/>
          <w:iCs w:val="0"/>
          <w:color w:val="auto"/>
          <w:sz w:val="22"/>
          <w:szCs w:val="22"/>
        </w:rPr>
        <w:fldChar w:fldCharType="separate"/>
      </w:r>
      <w:r>
        <w:rPr>
          <w:rFonts w:ascii="Times New Roman" w:hAnsi="Times New Roman" w:cs="Times New Roman"/>
          <w:b/>
          <w:bCs/>
          <w:i w:val="0"/>
          <w:iCs w:val="0"/>
          <w:noProof/>
          <w:color w:val="auto"/>
          <w:sz w:val="22"/>
          <w:szCs w:val="22"/>
        </w:rPr>
        <w:t>2</w:t>
      </w:r>
      <w:r w:rsidRPr="00333E67">
        <w:rPr>
          <w:rFonts w:ascii="Times New Roman" w:hAnsi="Times New Roman" w:cs="Times New Roman"/>
          <w:b/>
          <w:bCs/>
          <w:i w:val="0"/>
          <w:iCs w:val="0"/>
          <w:color w:val="auto"/>
          <w:sz w:val="22"/>
          <w:szCs w:val="22"/>
        </w:rPr>
        <w:fldChar w:fldCharType="end"/>
      </w:r>
      <w:r w:rsidRPr="00333E67">
        <w:rPr>
          <w:rFonts w:ascii="Times New Roman" w:hAnsi="Times New Roman" w:cs="Times New Roman"/>
          <w:b/>
          <w:bCs/>
          <w:i w:val="0"/>
          <w:iCs w:val="0"/>
          <w:color w:val="auto"/>
          <w:sz w:val="22"/>
          <w:szCs w:val="22"/>
        </w:rPr>
        <w:t xml:space="preserve"> </w:t>
      </w:r>
    </w:p>
    <w:p w14:paraId="410A1177" w14:textId="77777777" w:rsidR="00333E67" w:rsidRPr="00333E67" w:rsidRDefault="00333E67" w:rsidP="00333E67">
      <w:pPr>
        <w:pStyle w:val="Descripcin"/>
        <w:keepNext/>
        <w:rPr>
          <w:rFonts w:ascii="Times New Roman" w:hAnsi="Times New Roman" w:cs="Times New Roman"/>
          <w:color w:val="auto"/>
          <w:sz w:val="22"/>
          <w:szCs w:val="22"/>
        </w:rPr>
      </w:pPr>
      <w:r w:rsidRPr="00333E67">
        <w:rPr>
          <w:rFonts w:ascii="Times New Roman" w:hAnsi="Times New Roman" w:cs="Times New Roman"/>
          <w:color w:val="auto"/>
          <w:sz w:val="22"/>
          <w:szCs w:val="22"/>
        </w:rPr>
        <w:t>Análisis de tendencia Ecopetrol</w:t>
      </w:r>
    </w:p>
    <w:p w14:paraId="3A4CDBD8" w14:textId="77777777" w:rsidR="00833E84" w:rsidRDefault="00833E84" w:rsidP="00833E84">
      <w:pPr>
        <w:tabs>
          <w:tab w:val="left" w:pos="2895"/>
        </w:tabs>
        <w:spacing w:before="240" w:line="240" w:lineRule="auto"/>
        <w:rPr>
          <w:rFonts w:ascii="Times New Roman" w:hAnsi="Times New Roman" w:cs="Times New Roman"/>
          <w:sz w:val="24"/>
          <w:lang w:val="es-ES"/>
        </w:rPr>
      </w:pPr>
      <w:r>
        <w:rPr>
          <w:rFonts w:ascii="Times New Roman" w:hAnsi="Times New Roman" w:cs="Times New Roman"/>
          <w:noProof/>
          <w:sz w:val="24"/>
          <w:lang w:val="es-ES"/>
        </w:rPr>
        <w:drawing>
          <wp:inline distT="0" distB="0" distL="0" distR="0" wp14:anchorId="33A3C5EA" wp14:editId="388493AE">
            <wp:extent cx="5191125" cy="2228850"/>
            <wp:effectExtent l="0" t="0" r="9525"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45075" cy="2252014"/>
                    </a:xfrm>
                    <a:prstGeom prst="rect">
                      <a:avLst/>
                    </a:prstGeom>
                    <a:noFill/>
                  </pic:spPr>
                </pic:pic>
              </a:graphicData>
            </a:graphic>
          </wp:inline>
        </w:drawing>
      </w:r>
    </w:p>
    <w:p w14:paraId="319AD09A" w14:textId="77777777" w:rsidR="00833E84" w:rsidRDefault="00833E84" w:rsidP="00833E84">
      <w:pPr>
        <w:tabs>
          <w:tab w:val="left" w:pos="2895"/>
        </w:tabs>
        <w:spacing w:before="240" w:line="240" w:lineRule="auto"/>
        <w:rPr>
          <w:rFonts w:ascii="Times New Roman" w:hAnsi="Times New Roman" w:cs="Times New Roman"/>
          <w:sz w:val="24"/>
          <w:lang w:val="es-ES"/>
        </w:rPr>
      </w:pPr>
      <w:r w:rsidRPr="00833E84">
        <w:rPr>
          <w:rFonts w:ascii="Times New Roman" w:hAnsi="Times New Roman" w:cs="Times New Roman"/>
          <w:sz w:val="24"/>
          <w:lang w:val="es-ES"/>
        </w:rPr>
        <w:t>Nota: detallado análisis de tendencia Ecopetrol. Fuente: elaboración propia (2022).</w:t>
      </w:r>
    </w:p>
    <w:p w14:paraId="1B416356" w14:textId="77777777" w:rsidR="00E73479" w:rsidRDefault="00833E84" w:rsidP="003D6253">
      <w:pPr>
        <w:spacing w:before="240" w:line="240" w:lineRule="auto"/>
        <w:ind w:firstLine="720"/>
        <w:rPr>
          <w:rFonts w:ascii="Times New Roman" w:hAnsi="Times New Roman" w:cs="Times New Roman"/>
          <w:sz w:val="24"/>
          <w:szCs w:val="24"/>
          <w:lang w:val="es-ES"/>
        </w:rPr>
      </w:pPr>
      <w:r>
        <w:rPr>
          <w:rFonts w:ascii="Times New Roman" w:hAnsi="Times New Roman" w:cs="Times New Roman"/>
          <w:sz w:val="24"/>
          <w:szCs w:val="24"/>
          <w:lang w:val="es-ES"/>
        </w:rPr>
        <w:t xml:space="preserve">La grafica anterior indica el comportamiento de soporte y resistencia de Ecopetrol, donde se evidencia que entre los años 2015 a 2021 </w:t>
      </w:r>
      <w:r w:rsidR="00BF2451">
        <w:rPr>
          <w:rFonts w:ascii="Times New Roman" w:hAnsi="Times New Roman" w:cs="Times New Roman"/>
          <w:sz w:val="24"/>
          <w:szCs w:val="24"/>
          <w:lang w:val="es-ES"/>
        </w:rPr>
        <w:t xml:space="preserve">se presentó un comportamiento variable de importantes decrecimientos en el 2016 y un crecimiento significativo en el 2018 y 2019. </w:t>
      </w:r>
      <w:r w:rsidR="00BF2451" w:rsidRPr="00BF2451">
        <w:rPr>
          <w:rFonts w:ascii="Times New Roman" w:hAnsi="Times New Roman" w:cs="Times New Roman"/>
          <w:sz w:val="24"/>
          <w:szCs w:val="24"/>
          <w:lang w:val="es-ES"/>
        </w:rPr>
        <w:t>para el año 2016 en el mes de enero se presenta el soporte histórico de la acción cuando esta cayó a los $5.16 USD a causa de la crisis que vivió el sector en el 2015 debido a los precios del petróleo tan bajo y el precio histórico que obtuvo el dólar en ese momento.</w:t>
      </w:r>
    </w:p>
    <w:p w14:paraId="368CA758" w14:textId="77777777" w:rsidR="00E12859" w:rsidRDefault="00BF2451" w:rsidP="00F00197">
      <w:pPr>
        <w:spacing w:before="240" w:line="240" w:lineRule="auto"/>
        <w:ind w:firstLine="720"/>
        <w:rPr>
          <w:rFonts w:ascii="Times New Roman" w:hAnsi="Times New Roman" w:cs="Times New Roman"/>
          <w:sz w:val="24"/>
          <w:szCs w:val="24"/>
          <w:lang w:val="es-ES"/>
        </w:rPr>
      </w:pPr>
      <w:r w:rsidRPr="00BF2451">
        <w:rPr>
          <w:rFonts w:ascii="Times New Roman" w:hAnsi="Times New Roman" w:cs="Times New Roman"/>
          <w:sz w:val="24"/>
          <w:szCs w:val="24"/>
          <w:lang w:val="es-ES"/>
        </w:rPr>
        <w:t>Los meses de febrero, marzo y abril después de dicha cotización, los precios obtuvieron un repunte; entre mayo de 2016 y septiembre de 2017 el precio entró en una zona de consolidación y solo hasta octubre de 2017 es cuando la acción coge fuerza y logra romper el precio de $10.36 USD y sale en búsqueda de la mayor resistencia que se obtuvo en octubre de 2018  por $27.96 USD siendo el precio más alto de ese período; a partir del momento la acción comenzó a tener un retroceso en su precio durante tres meses consecutivos (octubre , noviembre y diciembre).</w:t>
      </w:r>
      <w:r w:rsidRPr="00BF2451">
        <w:t xml:space="preserve"> </w:t>
      </w:r>
      <w:r w:rsidRPr="00BF2451">
        <w:rPr>
          <w:rFonts w:ascii="Times New Roman" w:hAnsi="Times New Roman" w:cs="Times New Roman"/>
          <w:sz w:val="24"/>
          <w:szCs w:val="24"/>
          <w:lang w:val="es-ES"/>
        </w:rPr>
        <w:t>El siguiente punto importante es el soporte que se creó en marzo del 2020</w:t>
      </w:r>
      <w:r>
        <w:rPr>
          <w:rFonts w:ascii="Times New Roman" w:hAnsi="Times New Roman" w:cs="Times New Roman"/>
          <w:sz w:val="24"/>
          <w:szCs w:val="24"/>
          <w:lang w:val="es-ES"/>
        </w:rPr>
        <w:t>, donde las acciones llegaron a</w:t>
      </w:r>
      <w:r w:rsidRPr="00BF2451">
        <w:rPr>
          <w:rFonts w:ascii="Times New Roman" w:hAnsi="Times New Roman" w:cs="Times New Roman"/>
          <w:sz w:val="24"/>
          <w:szCs w:val="24"/>
          <w:lang w:val="es-ES"/>
        </w:rPr>
        <w:t xml:space="preserve"> un precio de $6.28 USD</w:t>
      </w:r>
      <w:r>
        <w:rPr>
          <w:rFonts w:ascii="Times New Roman" w:hAnsi="Times New Roman" w:cs="Times New Roman"/>
          <w:sz w:val="24"/>
          <w:szCs w:val="24"/>
          <w:lang w:val="es-ES"/>
        </w:rPr>
        <w:t xml:space="preserve"> a causa de la pandemia.</w:t>
      </w:r>
    </w:p>
    <w:p w14:paraId="4CFCB149" w14:textId="77777777" w:rsidR="00E12859" w:rsidRPr="00333E67" w:rsidRDefault="00E12859" w:rsidP="00E12859">
      <w:pPr>
        <w:spacing w:before="240" w:line="240" w:lineRule="auto"/>
        <w:ind w:firstLine="720"/>
        <w:rPr>
          <w:rFonts w:ascii="Times New Roman" w:hAnsi="Times New Roman" w:cs="Times New Roman"/>
          <w:b/>
          <w:bCs/>
          <w:noProof/>
          <w:sz w:val="24"/>
          <w:szCs w:val="24"/>
          <w:lang w:val="es-ES"/>
        </w:rPr>
      </w:pPr>
      <w:r w:rsidRPr="00333E67">
        <w:rPr>
          <w:rFonts w:ascii="Times New Roman" w:hAnsi="Times New Roman" w:cs="Times New Roman"/>
          <w:b/>
          <w:bCs/>
          <w:sz w:val="24"/>
          <w:szCs w:val="24"/>
          <w:lang w:val="es-ES"/>
        </w:rPr>
        <w:t>Tecnoglas</w:t>
      </w:r>
      <w:r w:rsidRPr="00333E67">
        <w:rPr>
          <w:rFonts w:ascii="Times New Roman" w:hAnsi="Times New Roman" w:cs="Times New Roman"/>
          <w:b/>
          <w:bCs/>
          <w:noProof/>
          <w:sz w:val="24"/>
          <w:szCs w:val="24"/>
          <w:lang w:val="es-ES"/>
        </w:rPr>
        <w:t>s</w:t>
      </w:r>
    </w:p>
    <w:p w14:paraId="152A20F4" w14:textId="77777777" w:rsidR="00333E67" w:rsidRPr="00333E67" w:rsidRDefault="00333E67" w:rsidP="00333E67">
      <w:pPr>
        <w:pStyle w:val="Descripcin"/>
        <w:keepNext/>
        <w:rPr>
          <w:rFonts w:ascii="Times New Roman" w:hAnsi="Times New Roman" w:cs="Times New Roman"/>
          <w:b/>
          <w:bCs/>
          <w:i w:val="0"/>
          <w:iCs w:val="0"/>
          <w:color w:val="auto"/>
          <w:sz w:val="22"/>
          <w:szCs w:val="22"/>
        </w:rPr>
      </w:pPr>
      <w:r w:rsidRPr="00333E67">
        <w:rPr>
          <w:rFonts w:ascii="Times New Roman" w:hAnsi="Times New Roman" w:cs="Times New Roman"/>
          <w:b/>
          <w:bCs/>
          <w:i w:val="0"/>
          <w:iCs w:val="0"/>
          <w:color w:val="auto"/>
          <w:sz w:val="22"/>
          <w:szCs w:val="22"/>
        </w:rPr>
        <w:lastRenderedPageBreak/>
        <w:t xml:space="preserve">Gráfica </w:t>
      </w:r>
      <w:r w:rsidRPr="00333E67">
        <w:rPr>
          <w:rFonts w:ascii="Times New Roman" w:hAnsi="Times New Roman" w:cs="Times New Roman"/>
          <w:b/>
          <w:bCs/>
          <w:i w:val="0"/>
          <w:iCs w:val="0"/>
          <w:color w:val="auto"/>
          <w:sz w:val="22"/>
          <w:szCs w:val="22"/>
        </w:rPr>
        <w:fldChar w:fldCharType="begin"/>
      </w:r>
      <w:r w:rsidRPr="00333E67">
        <w:rPr>
          <w:rFonts w:ascii="Times New Roman" w:hAnsi="Times New Roman" w:cs="Times New Roman"/>
          <w:b/>
          <w:bCs/>
          <w:i w:val="0"/>
          <w:iCs w:val="0"/>
          <w:color w:val="auto"/>
          <w:sz w:val="22"/>
          <w:szCs w:val="22"/>
        </w:rPr>
        <w:instrText xml:space="preserve"> SEQ Gráfica \* ARABIC </w:instrText>
      </w:r>
      <w:r w:rsidRPr="00333E67">
        <w:rPr>
          <w:rFonts w:ascii="Times New Roman" w:hAnsi="Times New Roman" w:cs="Times New Roman"/>
          <w:b/>
          <w:bCs/>
          <w:i w:val="0"/>
          <w:iCs w:val="0"/>
          <w:color w:val="auto"/>
          <w:sz w:val="22"/>
          <w:szCs w:val="22"/>
        </w:rPr>
        <w:fldChar w:fldCharType="separate"/>
      </w:r>
      <w:r>
        <w:rPr>
          <w:rFonts w:ascii="Times New Roman" w:hAnsi="Times New Roman" w:cs="Times New Roman"/>
          <w:b/>
          <w:bCs/>
          <w:i w:val="0"/>
          <w:iCs w:val="0"/>
          <w:noProof/>
          <w:color w:val="auto"/>
          <w:sz w:val="22"/>
          <w:szCs w:val="22"/>
        </w:rPr>
        <w:t>3</w:t>
      </w:r>
      <w:r w:rsidRPr="00333E67">
        <w:rPr>
          <w:rFonts w:ascii="Times New Roman" w:hAnsi="Times New Roman" w:cs="Times New Roman"/>
          <w:b/>
          <w:bCs/>
          <w:i w:val="0"/>
          <w:iCs w:val="0"/>
          <w:color w:val="auto"/>
          <w:sz w:val="22"/>
          <w:szCs w:val="22"/>
        </w:rPr>
        <w:fldChar w:fldCharType="end"/>
      </w:r>
      <w:r w:rsidRPr="00333E67">
        <w:rPr>
          <w:rFonts w:ascii="Times New Roman" w:hAnsi="Times New Roman" w:cs="Times New Roman"/>
          <w:b/>
          <w:bCs/>
          <w:i w:val="0"/>
          <w:iCs w:val="0"/>
          <w:color w:val="auto"/>
          <w:sz w:val="22"/>
          <w:szCs w:val="22"/>
        </w:rPr>
        <w:t xml:space="preserve"> </w:t>
      </w:r>
    </w:p>
    <w:p w14:paraId="0C3EE58B" w14:textId="77777777" w:rsidR="00333E67" w:rsidRPr="00333E67" w:rsidRDefault="00333E67" w:rsidP="00333E67">
      <w:pPr>
        <w:pStyle w:val="Descripcin"/>
        <w:keepNext/>
        <w:rPr>
          <w:rFonts w:ascii="Times New Roman" w:hAnsi="Times New Roman" w:cs="Times New Roman"/>
          <w:sz w:val="22"/>
          <w:szCs w:val="22"/>
        </w:rPr>
      </w:pPr>
      <w:r w:rsidRPr="00333E67">
        <w:rPr>
          <w:rFonts w:ascii="Times New Roman" w:hAnsi="Times New Roman" w:cs="Times New Roman"/>
          <w:color w:val="auto"/>
          <w:sz w:val="22"/>
          <w:szCs w:val="22"/>
        </w:rPr>
        <w:t>Análisis de tendencia Tecnoglass</w:t>
      </w:r>
    </w:p>
    <w:p w14:paraId="63F8C21C" w14:textId="77777777" w:rsidR="00E12859" w:rsidRDefault="00E12859" w:rsidP="00E12859">
      <w:pPr>
        <w:spacing w:before="240" w:line="240" w:lineRule="auto"/>
        <w:rPr>
          <w:rFonts w:ascii="Times New Roman" w:hAnsi="Times New Roman" w:cs="Times New Roman"/>
          <w:sz w:val="24"/>
          <w:szCs w:val="24"/>
          <w:lang w:val="es-ES"/>
        </w:rPr>
      </w:pPr>
      <w:r>
        <w:rPr>
          <w:rFonts w:ascii="Times New Roman" w:hAnsi="Times New Roman" w:cs="Times New Roman"/>
          <w:noProof/>
          <w:sz w:val="24"/>
          <w:szCs w:val="24"/>
          <w:lang w:val="es-ES"/>
        </w:rPr>
        <w:drawing>
          <wp:inline distT="0" distB="0" distL="0" distR="0" wp14:anchorId="1F7560A2" wp14:editId="7508E4D0">
            <wp:extent cx="5457825" cy="2447925"/>
            <wp:effectExtent l="0" t="0" r="9525" b="952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7">
                      <a:extLst>
                        <a:ext uri="{28A0092B-C50C-407E-A947-70E740481C1C}">
                          <a14:useLocalDpi xmlns:a14="http://schemas.microsoft.com/office/drawing/2010/main" val="0"/>
                        </a:ext>
                      </a:extLst>
                    </a:blip>
                    <a:srcRect r="1201" b="2158"/>
                    <a:stretch/>
                  </pic:blipFill>
                  <pic:spPr bwMode="auto">
                    <a:xfrm>
                      <a:off x="0" y="0"/>
                      <a:ext cx="5457825" cy="2447925"/>
                    </a:xfrm>
                    <a:prstGeom prst="rect">
                      <a:avLst/>
                    </a:prstGeom>
                    <a:noFill/>
                    <a:ln>
                      <a:noFill/>
                    </a:ln>
                    <a:extLst>
                      <a:ext uri="{53640926-AAD7-44D8-BBD7-CCE9431645EC}">
                        <a14:shadowObscured xmlns:a14="http://schemas.microsoft.com/office/drawing/2010/main"/>
                      </a:ext>
                    </a:extLst>
                  </pic:spPr>
                </pic:pic>
              </a:graphicData>
            </a:graphic>
          </wp:inline>
        </w:drawing>
      </w:r>
    </w:p>
    <w:p w14:paraId="593BAA5A" w14:textId="77777777" w:rsidR="00E12859" w:rsidRDefault="00E12859" w:rsidP="00ED45BA">
      <w:pPr>
        <w:tabs>
          <w:tab w:val="left" w:pos="2895"/>
        </w:tabs>
        <w:spacing w:before="240" w:line="240" w:lineRule="auto"/>
        <w:ind w:firstLine="720"/>
        <w:rPr>
          <w:rFonts w:ascii="Times New Roman" w:hAnsi="Times New Roman" w:cs="Times New Roman"/>
          <w:sz w:val="24"/>
        </w:rPr>
      </w:pPr>
      <w:r>
        <w:rPr>
          <w:rFonts w:ascii="Times New Roman" w:hAnsi="Times New Roman" w:cs="Times New Roman"/>
          <w:bCs/>
          <w:iCs/>
          <w:sz w:val="24"/>
          <w:lang w:val="es-ES"/>
        </w:rPr>
        <w:t>Nota: desarrollo de a</w:t>
      </w:r>
      <w:r w:rsidRPr="00972E02">
        <w:rPr>
          <w:rFonts w:ascii="Times New Roman" w:hAnsi="Times New Roman" w:cs="Times New Roman"/>
          <w:bCs/>
          <w:iCs/>
          <w:sz w:val="24"/>
          <w:lang w:val="es-ES"/>
        </w:rPr>
        <w:t>nálisis de tendencia Tecnoglass</w:t>
      </w:r>
      <w:r>
        <w:rPr>
          <w:rFonts w:ascii="Times New Roman" w:hAnsi="Times New Roman" w:cs="Times New Roman"/>
          <w:bCs/>
          <w:iCs/>
          <w:sz w:val="24"/>
          <w:lang w:val="es-ES"/>
        </w:rPr>
        <w:t xml:space="preserve">. </w:t>
      </w:r>
      <w:r w:rsidRPr="00D56520">
        <w:rPr>
          <w:rFonts w:ascii="Times New Roman" w:hAnsi="Times New Roman" w:cs="Times New Roman"/>
          <w:sz w:val="24"/>
        </w:rPr>
        <w:t>Fuente:</w:t>
      </w:r>
      <w:r>
        <w:rPr>
          <w:rFonts w:ascii="Times New Roman" w:hAnsi="Times New Roman" w:cs="Times New Roman"/>
          <w:sz w:val="24"/>
        </w:rPr>
        <w:t xml:space="preserve"> elaboración propia (2022).</w:t>
      </w:r>
    </w:p>
    <w:p w14:paraId="61031409" w14:textId="77777777" w:rsidR="00ED45BA" w:rsidRDefault="00E12859" w:rsidP="00ED45BA">
      <w:pPr>
        <w:tabs>
          <w:tab w:val="left" w:pos="2895"/>
        </w:tabs>
        <w:spacing w:before="240" w:line="240" w:lineRule="auto"/>
        <w:ind w:firstLine="720"/>
        <w:rPr>
          <w:rFonts w:ascii="Times New Roman" w:hAnsi="Times New Roman" w:cs="Times New Roman"/>
          <w:bCs/>
          <w:iCs/>
          <w:sz w:val="24"/>
          <w:lang w:val="es-ES"/>
        </w:rPr>
      </w:pPr>
      <w:r>
        <w:rPr>
          <w:rFonts w:ascii="Times New Roman" w:hAnsi="Times New Roman" w:cs="Times New Roman"/>
          <w:bCs/>
          <w:iCs/>
          <w:sz w:val="24"/>
          <w:lang w:val="es-ES"/>
        </w:rPr>
        <w:t>En cuanto a la grafica anterior se evidenció que la empresa ha tenido un comportamiento creciente a partir del 2021</w:t>
      </w:r>
      <w:r w:rsidR="00BB2C68">
        <w:rPr>
          <w:rFonts w:ascii="Times New Roman" w:hAnsi="Times New Roman" w:cs="Times New Roman"/>
          <w:bCs/>
          <w:iCs/>
          <w:sz w:val="24"/>
          <w:lang w:val="es-ES"/>
        </w:rPr>
        <w:t xml:space="preserve">, no obstante, en el año 2015 la empresa se ubica en el soporte 1 en un precio de </w:t>
      </w:r>
      <w:r w:rsidR="00BB2C68" w:rsidRPr="00BB2C68">
        <w:rPr>
          <w:rFonts w:ascii="Times New Roman" w:hAnsi="Times New Roman" w:cs="Times New Roman"/>
          <w:bCs/>
          <w:iCs/>
          <w:sz w:val="24"/>
          <w:lang w:val="es-ES"/>
        </w:rPr>
        <w:t xml:space="preserve">$8.50 USD, </w:t>
      </w:r>
      <w:r w:rsidR="00BB2C68">
        <w:rPr>
          <w:rFonts w:ascii="Times New Roman" w:hAnsi="Times New Roman" w:cs="Times New Roman"/>
          <w:bCs/>
          <w:iCs/>
          <w:sz w:val="24"/>
          <w:lang w:val="es-ES"/>
        </w:rPr>
        <w:t>a partir del cual se</w:t>
      </w:r>
      <w:r w:rsidR="00BB2C68" w:rsidRPr="00BB2C68">
        <w:rPr>
          <w:rFonts w:ascii="Times New Roman" w:hAnsi="Times New Roman" w:cs="Times New Roman"/>
          <w:bCs/>
          <w:iCs/>
          <w:sz w:val="24"/>
          <w:lang w:val="es-ES"/>
        </w:rPr>
        <w:t xml:space="preserve"> </w:t>
      </w:r>
      <w:r w:rsidR="00ED45BA" w:rsidRPr="00BB2C68">
        <w:rPr>
          <w:rFonts w:ascii="Times New Roman" w:hAnsi="Times New Roman" w:cs="Times New Roman"/>
          <w:bCs/>
          <w:iCs/>
          <w:sz w:val="24"/>
          <w:lang w:val="es-ES"/>
        </w:rPr>
        <w:t>inició</w:t>
      </w:r>
      <w:r w:rsidR="00BB2C68" w:rsidRPr="00BB2C68">
        <w:rPr>
          <w:rFonts w:ascii="Times New Roman" w:hAnsi="Times New Roman" w:cs="Times New Roman"/>
          <w:bCs/>
          <w:iCs/>
          <w:sz w:val="24"/>
          <w:lang w:val="es-ES"/>
        </w:rPr>
        <w:t xml:space="preserve"> un incremento de los precios de la ADR durante 8 meses consecutivos, de esta forma en agosto del mismo año consigue un punto máximo histórico hasta ese momento de la cotización de la empresa en NYSE por un precio de $15,95 USD generando una resistencia (Resistencia 1) la cual fue respetada durante 69 meses aproximadamente</w:t>
      </w:r>
      <w:r w:rsidR="00ED45BA">
        <w:rPr>
          <w:rFonts w:ascii="Times New Roman" w:hAnsi="Times New Roman" w:cs="Times New Roman"/>
          <w:bCs/>
          <w:iCs/>
          <w:sz w:val="24"/>
          <w:lang w:val="es-ES"/>
        </w:rPr>
        <w:t>.</w:t>
      </w:r>
    </w:p>
    <w:p w14:paraId="4E249933" w14:textId="77777777" w:rsidR="00ED45BA" w:rsidRDefault="00ED45BA" w:rsidP="00ED45BA">
      <w:pPr>
        <w:tabs>
          <w:tab w:val="left" w:pos="2895"/>
        </w:tabs>
        <w:spacing w:before="240" w:line="240" w:lineRule="auto"/>
        <w:ind w:firstLine="720"/>
        <w:rPr>
          <w:rFonts w:ascii="Times New Roman" w:hAnsi="Times New Roman" w:cs="Times New Roman"/>
          <w:sz w:val="24"/>
          <w:szCs w:val="24"/>
          <w:lang w:val="es-ES"/>
        </w:rPr>
      </w:pPr>
      <w:r>
        <w:rPr>
          <w:rFonts w:ascii="Times New Roman" w:hAnsi="Times New Roman" w:cs="Times New Roman"/>
          <w:bCs/>
          <w:iCs/>
          <w:sz w:val="24"/>
          <w:lang w:val="es-ES"/>
        </w:rPr>
        <w:t>A</w:t>
      </w:r>
      <w:r w:rsidRPr="00ED45BA">
        <w:rPr>
          <w:rFonts w:ascii="Times New Roman" w:hAnsi="Times New Roman" w:cs="Times New Roman"/>
          <w:sz w:val="24"/>
          <w:szCs w:val="24"/>
          <w:lang w:val="es-ES"/>
        </w:rPr>
        <w:t xml:space="preserve"> finales de 2015 (diciembre) y durante todo el año de 2016 y gran parte del 2017, la empresa tuvo un retroceso significativo en sus precios a excepción de algunos pocos meses en los que tuvo aumento de los mismos lo cual evitó una fuerte caída, para agosto del 2017 la empresa logra romper el soporte que tenía (Soporte 1) por medio de una vela de fuerza la cual conllevó a la obtención de un nuevo soporte (Soporte 2) en $5.50 USD, precio que sería el más bajo de la cotización histórica de la empresa; durante un año, el precio tuvo una reversión y con ella llegó una nueva resistencia (Resistencia 2) para agosto de 2018 cotizando en $10.29 USD; el precio durante los siguientes 18 meses estuvo oscilando entre el soporte 2 y la resistencia 2, pero cuando se cumplió el mes 19 (marzo de 2020) la acción tocó fondo en un precio de $2.15 USD generando un soporte (Soporte Principal entre 2015-2021) debido a la pandemia de COVID-19. </w:t>
      </w:r>
    </w:p>
    <w:p w14:paraId="6D1623FF" w14:textId="77777777" w:rsidR="00E12859" w:rsidRDefault="00ED45BA" w:rsidP="00ED45BA">
      <w:pPr>
        <w:tabs>
          <w:tab w:val="left" w:pos="2895"/>
        </w:tabs>
        <w:spacing w:before="240" w:line="240" w:lineRule="auto"/>
        <w:ind w:firstLine="720"/>
        <w:rPr>
          <w:rFonts w:ascii="Times New Roman" w:hAnsi="Times New Roman" w:cs="Times New Roman"/>
          <w:sz w:val="24"/>
          <w:szCs w:val="24"/>
          <w:lang w:val="es-ES"/>
        </w:rPr>
      </w:pPr>
      <w:r w:rsidRPr="00ED45BA">
        <w:rPr>
          <w:rFonts w:ascii="Times New Roman" w:hAnsi="Times New Roman" w:cs="Times New Roman"/>
          <w:sz w:val="24"/>
          <w:szCs w:val="24"/>
          <w:lang w:val="es-ES"/>
        </w:rPr>
        <w:t>Durante el año 2021, las acciones incrementaron su precio teniendo pocos meses en rojo (negativos) y en junio de 2021 la resistencia que tenía hasta el momento (Resistencia 1) tuvo una ruptura con una vela de fuerza, este movimiento se dio gracias al anuncio del inicio de la construcción de tres nuevas plantas en Barranquilla y en noviembre alcanzó su precio histórico más alto (Resistencia Principal entre 2015-2021) en $34.90 USD debido a los buenos resultados financieros que obtuvieron en el tercer trimestre del año.</w:t>
      </w:r>
      <w:r>
        <w:rPr>
          <w:rFonts w:ascii="Times New Roman" w:hAnsi="Times New Roman" w:cs="Times New Roman"/>
          <w:sz w:val="24"/>
          <w:szCs w:val="24"/>
          <w:lang w:val="es-ES"/>
        </w:rPr>
        <w:t xml:space="preserve"> Cabe resaltar que para el 2021 la empresa también se </w:t>
      </w:r>
      <w:proofErr w:type="spellStart"/>
      <w:r>
        <w:rPr>
          <w:rFonts w:ascii="Times New Roman" w:hAnsi="Times New Roman" w:cs="Times New Roman"/>
          <w:sz w:val="24"/>
          <w:szCs w:val="24"/>
          <w:lang w:val="es-ES"/>
        </w:rPr>
        <w:t>vió</w:t>
      </w:r>
      <w:proofErr w:type="spellEnd"/>
      <w:r>
        <w:rPr>
          <w:rFonts w:ascii="Times New Roman" w:hAnsi="Times New Roman" w:cs="Times New Roman"/>
          <w:sz w:val="24"/>
          <w:szCs w:val="24"/>
          <w:lang w:val="es-ES"/>
        </w:rPr>
        <w:t xml:space="preserve"> afectada por polémicas de presuntos nexos de sus directivos con el cartel de Cali, lo que propició una caída de la acción en 14,91% en diciembre del mismo año.</w:t>
      </w:r>
    </w:p>
    <w:p w14:paraId="056FF21D" w14:textId="77777777" w:rsidR="00333E67" w:rsidRDefault="00333E67" w:rsidP="00ED45BA">
      <w:pPr>
        <w:tabs>
          <w:tab w:val="left" w:pos="2895"/>
        </w:tabs>
        <w:spacing w:before="240" w:line="240" w:lineRule="auto"/>
        <w:ind w:firstLine="720"/>
        <w:rPr>
          <w:rFonts w:ascii="Times New Roman" w:hAnsi="Times New Roman" w:cs="Times New Roman"/>
          <w:sz w:val="24"/>
          <w:szCs w:val="24"/>
          <w:lang w:val="es-ES"/>
        </w:rPr>
      </w:pPr>
      <w:r>
        <w:rPr>
          <w:rFonts w:ascii="Times New Roman" w:hAnsi="Times New Roman" w:cs="Times New Roman"/>
          <w:sz w:val="24"/>
          <w:szCs w:val="24"/>
          <w:lang w:val="es-ES"/>
        </w:rPr>
        <w:lastRenderedPageBreak/>
        <w:t>Grupo Aval</w:t>
      </w:r>
    </w:p>
    <w:p w14:paraId="32A7FB68" w14:textId="77777777" w:rsidR="00333E67" w:rsidRPr="00333E67" w:rsidRDefault="00333E67" w:rsidP="00333E67">
      <w:pPr>
        <w:pStyle w:val="Descripcin"/>
        <w:keepNext/>
        <w:rPr>
          <w:rFonts w:ascii="Times New Roman" w:hAnsi="Times New Roman" w:cs="Times New Roman"/>
          <w:b/>
          <w:bCs/>
          <w:i w:val="0"/>
          <w:iCs w:val="0"/>
          <w:color w:val="auto"/>
          <w:sz w:val="22"/>
          <w:szCs w:val="22"/>
        </w:rPr>
      </w:pPr>
      <w:r w:rsidRPr="00333E67">
        <w:rPr>
          <w:rFonts w:ascii="Times New Roman" w:hAnsi="Times New Roman" w:cs="Times New Roman"/>
          <w:b/>
          <w:bCs/>
          <w:i w:val="0"/>
          <w:iCs w:val="0"/>
          <w:color w:val="auto"/>
          <w:sz w:val="22"/>
          <w:szCs w:val="22"/>
        </w:rPr>
        <w:t xml:space="preserve">Gráfica </w:t>
      </w:r>
      <w:r w:rsidRPr="00333E67">
        <w:rPr>
          <w:rFonts w:ascii="Times New Roman" w:hAnsi="Times New Roman" w:cs="Times New Roman"/>
          <w:b/>
          <w:bCs/>
          <w:i w:val="0"/>
          <w:iCs w:val="0"/>
          <w:color w:val="auto"/>
          <w:sz w:val="22"/>
          <w:szCs w:val="22"/>
        </w:rPr>
        <w:fldChar w:fldCharType="begin"/>
      </w:r>
      <w:r w:rsidRPr="00333E67">
        <w:rPr>
          <w:rFonts w:ascii="Times New Roman" w:hAnsi="Times New Roman" w:cs="Times New Roman"/>
          <w:b/>
          <w:bCs/>
          <w:i w:val="0"/>
          <w:iCs w:val="0"/>
          <w:color w:val="auto"/>
          <w:sz w:val="22"/>
          <w:szCs w:val="22"/>
        </w:rPr>
        <w:instrText xml:space="preserve"> SEQ Gráfica \* ARABIC </w:instrText>
      </w:r>
      <w:r w:rsidRPr="00333E67">
        <w:rPr>
          <w:rFonts w:ascii="Times New Roman" w:hAnsi="Times New Roman" w:cs="Times New Roman"/>
          <w:b/>
          <w:bCs/>
          <w:i w:val="0"/>
          <w:iCs w:val="0"/>
          <w:color w:val="auto"/>
          <w:sz w:val="22"/>
          <w:szCs w:val="22"/>
        </w:rPr>
        <w:fldChar w:fldCharType="separate"/>
      </w:r>
      <w:r>
        <w:rPr>
          <w:rFonts w:ascii="Times New Roman" w:hAnsi="Times New Roman" w:cs="Times New Roman"/>
          <w:b/>
          <w:bCs/>
          <w:i w:val="0"/>
          <w:iCs w:val="0"/>
          <w:noProof/>
          <w:color w:val="auto"/>
          <w:sz w:val="22"/>
          <w:szCs w:val="22"/>
        </w:rPr>
        <w:t>4</w:t>
      </w:r>
      <w:r w:rsidRPr="00333E67">
        <w:rPr>
          <w:rFonts w:ascii="Times New Roman" w:hAnsi="Times New Roman" w:cs="Times New Roman"/>
          <w:b/>
          <w:bCs/>
          <w:i w:val="0"/>
          <w:iCs w:val="0"/>
          <w:color w:val="auto"/>
          <w:sz w:val="22"/>
          <w:szCs w:val="22"/>
        </w:rPr>
        <w:fldChar w:fldCharType="end"/>
      </w:r>
      <w:r w:rsidRPr="00333E67">
        <w:rPr>
          <w:rFonts w:ascii="Times New Roman" w:hAnsi="Times New Roman" w:cs="Times New Roman"/>
          <w:b/>
          <w:bCs/>
          <w:i w:val="0"/>
          <w:iCs w:val="0"/>
          <w:color w:val="auto"/>
          <w:sz w:val="22"/>
          <w:szCs w:val="22"/>
        </w:rPr>
        <w:t xml:space="preserve"> </w:t>
      </w:r>
    </w:p>
    <w:p w14:paraId="71649973" w14:textId="77777777" w:rsidR="00333E67" w:rsidRPr="00333E67" w:rsidRDefault="00333E67" w:rsidP="00333E67">
      <w:pPr>
        <w:pStyle w:val="Descripcin"/>
        <w:keepNext/>
        <w:rPr>
          <w:rFonts w:ascii="Times New Roman" w:hAnsi="Times New Roman" w:cs="Times New Roman"/>
          <w:sz w:val="22"/>
          <w:szCs w:val="22"/>
        </w:rPr>
      </w:pPr>
      <w:r w:rsidRPr="00333E67">
        <w:rPr>
          <w:rFonts w:ascii="Times New Roman" w:hAnsi="Times New Roman" w:cs="Times New Roman"/>
          <w:color w:val="auto"/>
          <w:sz w:val="22"/>
          <w:szCs w:val="22"/>
        </w:rPr>
        <w:t>Análisis de tendencia Grupo Aval</w:t>
      </w:r>
    </w:p>
    <w:p w14:paraId="3B5FB45C" w14:textId="77777777" w:rsidR="00ED45BA" w:rsidRDefault="00333E67" w:rsidP="00333E67">
      <w:pPr>
        <w:tabs>
          <w:tab w:val="left" w:pos="2895"/>
        </w:tabs>
        <w:spacing w:before="240" w:line="240" w:lineRule="auto"/>
        <w:rPr>
          <w:rFonts w:ascii="Times New Roman" w:hAnsi="Times New Roman" w:cs="Times New Roman"/>
          <w:sz w:val="24"/>
          <w:szCs w:val="24"/>
          <w:lang w:val="es-ES"/>
        </w:rPr>
      </w:pPr>
      <w:r>
        <w:rPr>
          <w:rFonts w:ascii="Times New Roman" w:hAnsi="Times New Roman" w:cs="Times New Roman"/>
          <w:noProof/>
          <w:sz w:val="24"/>
          <w:szCs w:val="24"/>
          <w:lang w:val="es-ES"/>
        </w:rPr>
        <w:drawing>
          <wp:inline distT="0" distB="0" distL="0" distR="0" wp14:anchorId="25230C62" wp14:editId="51224597">
            <wp:extent cx="6005195" cy="2725420"/>
            <wp:effectExtent l="0" t="0" r="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05195" cy="2725420"/>
                    </a:xfrm>
                    <a:prstGeom prst="rect">
                      <a:avLst/>
                    </a:prstGeom>
                    <a:noFill/>
                  </pic:spPr>
                </pic:pic>
              </a:graphicData>
            </a:graphic>
          </wp:inline>
        </w:drawing>
      </w:r>
    </w:p>
    <w:p w14:paraId="6196F055" w14:textId="77777777" w:rsidR="00ED45BA" w:rsidRDefault="00ED45BA" w:rsidP="00395B03">
      <w:pPr>
        <w:tabs>
          <w:tab w:val="left" w:pos="2895"/>
        </w:tabs>
        <w:spacing w:after="0" w:line="240" w:lineRule="auto"/>
        <w:rPr>
          <w:rFonts w:ascii="Times New Roman" w:hAnsi="Times New Roman" w:cs="Times New Roman"/>
          <w:bCs/>
          <w:iCs/>
          <w:sz w:val="24"/>
          <w:lang w:val="es-ES"/>
        </w:rPr>
      </w:pPr>
      <w:r>
        <w:rPr>
          <w:rFonts w:ascii="Times New Roman" w:hAnsi="Times New Roman" w:cs="Times New Roman"/>
          <w:bCs/>
          <w:iCs/>
          <w:sz w:val="24"/>
          <w:lang w:val="es-ES"/>
        </w:rPr>
        <w:t>Nota: desarrollo de un a</w:t>
      </w:r>
      <w:r w:rsidRPr="00544959">
        <w:rPr>
          <w:rFonts w:ascii="Times New Roman" w:hAnsi="Times New Roman" w:cs="Times New Roman"/>
          <w:bCs/>
          <w:iCs/>
          <w:sz w:val="24"/>
          <w:lang w:val="es-ES"/>
        </w:rPr>
        <w:t>nálisis de tendencia Grupo Aval</w:t>
      </w:r>
      <w:r>
        <w:rPr>
          <w:rFonts w:ascii="Times New Roman" w:hAnsi="Times New Roman" w:cs="Times New Roman"/>
          <w:bCs/>
          <w:iCs/>
          <w:sz w:val="24"/>
          <w:lang w:val="es-ES"/>
        </w:rPr>
        <w:t xml:space="preserve">. </w:t>
      </w:r>
      <w:r w:rsidRPr="00D56520">
        <w:rPr>
          <w:rFonts w:ascii="Times New Roman" w:hAnsi="Times New Roman" w:cs="Times New Roman"/>
          <w:sz w:val="24"/>
        </w:rPr>
        <w:t>Fuente:</w:t>
      </w:r>
      <w:r>
        <w:rPr>
          <w:rFonts w:ascii="Times New Roman" w:hAnsi="Times New Roman" w:cs="Times New Roman"/>
          <w:sz w:val="24"/>
        </w:rPr>
        <w:t xml:space="preserve"> elaboración propia (2022).</w:t>
      </w:r>
    </w:p>
    <w:p w14:paraId="768ECE95" w14:textId="77777777" w:rsidR="00395B03" w:rsidRDefault="00ED45BA" w:rsidP="00395B03">
      <w:pPr>
        <w:tabs>
          <w:tab w:val="left" w:pos="2895"/>
        </w:tabs>
        <w:spacing w:before="240" w:line="240" w:lineRule="auto"/>
        <w:ind w:firstLine="720"/>
        <w:rPr>
          <w:rFonts w:ascii="Times New Roman" w:hAnsi="Times New Roman" w:cs="Times New Roman"/>
          <w:sz w:val="24"/>
          <w:szCs w:val="24"/>
          <w:lang w:val="es-ES"/>
        </w:rPr>
      </w:pPr>
      <w:r>
        <w:rPr>
          <w:rFonts w:ascii="Times New Roman" w:hAnsi="Times New Roman" w:cs="Times New Roman"/>
          <w:sz w:val="24"/>
          <w:szCs w:val="24"/>
          <w:lang w:val="es-ES"/>
        </w:rPr>
        <w:t>En cuanto al comportamiento del Grupo Aval se establece que esta fue la última en entrar a cotizar en la bola de valores americana</w:t>
      </w:r>
      <w:r w:rsidR="001F6000">
        <w:rPr>
          <w:rFonts w:ascii="Times New Roman" w:hAnsi="Times New Roman" w:cs="Times New Roman"/>
          <w:sz w:val="24"/>
          <w:szCs w:val="24"/>
          <w:lang w:val="es-ES"/>
        </w:rPr>
        <w:t xml:space="preserve">, la </w:t>
      </w:r>
      <w:r w:rsidR="001F6000" w:rsidRPr="001F6000">
        <w:rPr>
          <w:rFonts w:ascii="Times New Roman" w:hAnsi="Times New Roman" w:cs="Times New Roman"/>
          <w:sz w:val="24"/>
          <w:szCs w:val="24"/>
          <w:lang w:val="es-ES"/>
        </w:rPr>
        <w:t>resistencia más fuerte durante</w:t>
      </w:r>
      <w:r w:rsidR="001F6000">
        <w:rPr>
          <w:rFonts w:ascii="Times New Roman" w:hAnsi="Times New Roman" w:cs="Times New Roman"/>
          <w:sz w:val="24"/>
          <w:szCs w:val="24"/>
          <w:lang w:val="es-ES"/>
        </w:rPr>
        <w:t xml:space="preserve"> el periodo de análisis</w:t>
      </w:r>
      <w:r w:rsidR="001F6000" w:rsidRPr="001F6000">
        <w:rPr>
          <w:rFonts w:ascii="Times New Roman" w:hAnsi="Times New Roman" w:cs="Times New Roman"/>
          <w:sz w:val="24"/>
          <w:szCs w:val="24"/>
          <w:lang w:val="es-ES"/>
        </w:rPr>
        <w:t xml:space="preserve"> </w:t>
      </w:r>
      <w:r w:rsidR="001F6000">
        <w:rPr>
          <w:rFonts w:ascii="Times New Roman" w:hAnsi="Times New Roman" w:cs="Times New Roman"/>
          <w:sz w:val="24"/>
          <w:szCs w:val="24"/>
          <w:lang w:val="es-ES"/>
        </w:rPr>
        <w:t>tuvo lugar</w:t>
      </w:r>
      <w:r w:rsidR="001F6000" w:rsidRPr="001F6000">
        <w:rPr>
          <w:rFonts w:ascii="Times New Roman" w:hAnsi="Times New Roman" w:cs="Times New Roman"/>
          <w:sz w:val="24"/>
          <w:szCs w:val="24"/>
          <w:lang w:val="es-ES"/>
        </w:rPr>
        <w:t xml:space="preserve"> en febrero de 2015 (Resistencia Principal entre 2015-2021) cuando el precio alcanzó los $10.75 USD, desde ese momento la empresa no volvió a tocar precios cercanos y empezó a descender en el valor de sus acciones lo que originó un soporte (Soporte 1) en $5.59 USD para enero de 2016, en la vela japonesa de este mes mencionado se presentó un patrón de velas llamado vela martillo que normalmente aparece cuando va a existir una reversión de tendencia, estos patrones se presentan cuando va a producirse un cambio de tendencia bajista a alcista; se da por perdida de fuerza en el impulso para seguir cayendo el precio, se pudo observar una reversión de tendencia después de haberse presentado este patrón, generando una resistencia (Resistencia 1) en el mes de septiembre de 2016 en $9.04 USD, la cual provocó que el precio entrara a un periodo de consolidación que se vio afectado por un falso rompimiento de la resistencia 1, lo que trajo consigo una nueva resistencia (Resistencia 2) en enero de 2018 por $9.51 USD.</w:t>
      </w:r>
      <w:r w:rsidR="00395B03">
        <w:rPr>
          <w:rFonts w:ascii="Times New Roman" w:hAnsi="Times New Roman" w:cs="Times New Roman"/>
          <w:sz w:val="24"/>
          <w:szCs w:val="24"/>
          <w:lang w:val="es-ES"/>
        </w:rPr>
        <w:t xml:space="preserve"> Cabe destacar que a partir del 2018 el precio de la acción presentó una disminución considerable hasta llegar a 5.58 USD, pero mas adelante el precio decreció aún mas cuando en el mes de marzo de 2020 llego a 3.32 USD</w:t>
      </w:r>
      <w:r w:rsidR="00544371">
        <w:rPr>
          <w:rFonts w:ascii="Times New Roman" w:hAnsi="Times New Roman" w:cs="Times New Roman"/>
          <w:sz w:val="24"/>
          <w:szCs w:val="24"/>
          <w:lang w:val="es-ES"/>
        </w:rPr>
        <w:t>.</w:t>
      </w:r>
    </w:p>
    <w:p w14:paraId="5F9824EF" w14:textId="77777777" w:rsidR="00544371" w:rsidRPr="00B63DE7" w:rsidRDefault="00544371" w:rsidP="00395B03">
      <w:pPr>
        <w:tabs>
          <w:tab w:val="left" w:pos="2895"/>
        </w:tabs>
        <w:spacing w:before="240" w:line="240" w:lineRule="auto"/>
        <w:ind w:firstLine="720"/>
        <w:rPr>
          <w:rFonts w:ascii="Times New Roman" w:hAnsi="Times New Roman" w:cs="Times New Roman"/>
          <w:b/>
          <w:bCs/>
          <w:sz w:val="24"/>
          <w:szCs w:val="24"/>
          <w:lang w:val="es-ES"/>
        </w:rPr>
      </w:pPr>
      <w:r w:rsidRPr="00B63DE7">
        <w:rPr>
          <w:rFonts w:ascii="Times New Roman" w:hAnsi="Times New Roman" w:cs="Times New Roman"/>
          <w:b/>
          <w:bCs/>
          <w:sz w:val="24"/>
          <w:szCs w:val="24"/>
          <w:lang w:val="es-ES"/>
        </w:rPr>
        <w:t>Análisis de la rentabilidad y riesgo de las ADR’s colombianas</w:t>
      </w:r>
    </w:p>
    <w:p w14:paraId="6ACDD9EF" w14:textId="77777777" w:rsidR="00B63DE7" w:rsidRPr="00B63DE7" w:rsidRDefault="00B63DE7" w:rsidP="00395B03">
      <w:pPr>
        <w:tabs>
          <w:tab w:val="left" w:pos="2895"/>
        </w:tabs>
        <w:spacing w:before="240" w:line="240" w:lineRule="auto"/>
        <w:ind w:firstLine="720"/>
        <w:rPr>
          <w:rFonts w:ascii="Times New Roman" w:hAnsi="Times New Roman" w:cs="Times New Roman"/>
          <w:b/>
          <w:bCs/>
          <w:sz w:val="24"/>
          <w:szCs w:val="24"/>
          <w:lang w:val="es-ES"/>
        </w:rPr>
      </w:pPr>
      <w:r w:rsidRPr="00B63DE7">
        <w:rPr>
          <w:rFonts w:ascii="Times New Roman" w:hAnsi="Times New Roman" w:cs="Times New Roman"/>
          <w:b/>
          <w:bCs/>
          <w:sz w:val="24"/>
          <w:szCs w:val="24"/>
          <w:lang w:val="es-ES"/>
        </w:rPr>
        <w:t>Rentabilidad</w:t>
      </w:r>
    </w:p>
    <w:p w14:paraId="762EA25A" w14:textId="77777777" w:rsidR="00B63DE7" w:rsidRDefault="00B63DE7" w:rsidP="00395B03">
      <w:pPr>
        <w:tabs>
          <w:tab w:val="left" w:pos="2895"/>
        </w:tabs>
        <w:spacing w:before="240" w:line="240" w:lineRule="auto"/>
        <w:ind w:firstLine="720"/>
        <w:rPr>
          <w:rFonts w:ascii="Times New Roman" w:hAnsi="Times New Roman" w:cs="Times New Roman"/>
          <w:sz w:val="24"/>
          <w:szCs w:val="24"/>
          <w:lang w:val="es-ES"/>
        </w:rPr>
      </w:pPr>
      <w:r>
        <w:rPr>
          <w:rFonts w:ascii="Times New Roman" w:hAnsi="Times New Roman" w:cs="Times New Roman"/>
          <w:sz w:val="24"/>
          <w:szCs w:val="24"/>
          <w:lang w:val="es-ES"/>
        </w:rPr>
        <w:t>En cuanto a la rentabilidad de las empresas es importante mencionar que los resultados obtenidos de Python indican información del periodo de análisis comprendido entre 2015 a 2021.</w:t>
      </w:r>
    </w:p>
    <w:p w14:paraId="761752B3" w14:textId="77777777" w:rsidR="00333E67" w:rsidRPr="00333E67" w:rsidRDefault="00333E67" w:rsidP="00333E67">
      <w:pPr>
        <w:pStyle w:val="Descripcin"/>
        <w:keepNext/>
        <w:rPr>
          <w:rFonts w:ascii="Times New Roman" w:hAnsi="Times New Roman" w:cs="Times New Roman"/>
          <w:b/>
          <w:bCs/>
          <w:i w:val="0"/>
          <w:iCs w:val="0"/>
          <w:color w:val="auto"/>
          <w:sz w:val="22"/>
          <w:szCs w:val="22"/>
        </w:rPr>
      </w:pPr>
      <w:r w:rsidRPr="00333E67">
        <w:rPr>
          <w:rFonts w:ascii="Times New Roman" w:hAnsi="Times New Roman" w:cs="Times New Roman"/>
          <w:b/>
          <w:bCs/>
          <w:i w:val="0"/>
          <w:iCs w:val="0"/>
          <w:color w:val="auto"/>
          <w:sz w:val="22"/>
          <w:szCs w:val="22"/>
        </w:rPr>
        <w:lastRenderedPageBreak/>
        <w:t xml:space="preserve">Tabla </w:t>
      </w:r>
      <w:r w:rsidRPr="00333E67">
        <w:rPr>
          <w:rFonts w:ascii="Times New Roman" w:hAnsi="Times New Roman" w:cs="Times New Roman"/>
          <w:b/>
          <w:bCs/>
          <w:i w:val="0"/>
          <w:iCs w:val="0"/>
          <w:color w:val="auto"/>
          <w:sz w:val="22"/>
          <w:szCs w:val="22"/>
        </w:rPr>
        <w:fldChar w:fldCharType="begin"/>
      </w:r>
      <w:r w:rsidRPr="00333E67">
        <w:rPr>
          <w:rFonts w:ascii="Times New Roman" w:hAnsi="Times New Roman" w:cs="Times New Roman"/>
          <w:b/>
          <w:bCs/>
          <w:i w:val="0"/>
          <w:iCs w:val="0"/>
          <w:color w:val="auto"/>
          <w:sz w:val="22"/>
          <w:szCs w:val="22"/>
        </w:rPr>
        <w:instrText xml:space="preserve"> SEQ Tabla \* ARABIC </w:instrText>
      </w:r>
      <w:r w:rsidRPr="00333E67">
        <w:rPr>
          <w:rFonts w:ascii="Times New Roman" w:hAnsi="Times New Roman" w:cs="Times New Roman"/>
          <w:b/>
          <w:bCs/>
          <w:i w:val="0"/>
          <w:iCs w:val="0"/>
          <w:color w:val="auto"/>
          <w:sz w:val="22"/>
          <w:szCs w:val="22"/>
        </w:rPr>
        <w:fldChar w:fldCharType="separate"/>
      </w:r>
      <w:r>
        <w:rPr>
          <w:rFonts w:ascii="Times New Roman" w:hAnsi="Times New Roman" w:cs="Times New Roman"/>
          <w:b/>
          <w:bCs/>
          <w:i w:val="0"/>
          <w:iCs w:val="0"/>
          <w:noProof/>
          <w:color w:val="auto"/>
          <w:sz w:val="22"/>
          <w:szCs w:val="22"/>
        </w:rPr>
        <w:t>1</w:t>
      </w:r>
      <w:r w:rsidRPr="00333E67">
        <w:rPr>
          <w:rFonts w:ascii="Times New Roman" w:hAnsi="Times New Roman" w:cs="Times New Roman"/>
          <w:b/>
          <w:bCs/>
          <w:i w:val="0"/>
          <w:iCs w:val="0"/>
          <w:color w:val="auto"/>
          <w:sz w:val="22"/>
          <w:szCs w:val="22"/>
        </w:rPr>
        <w:fldChar w:fldCharType="end"/>
      </w:r>
      <w:r w:rsidRPr="00333E67">
        <w:rPr>
          <w:rFonts w:ascii="Times New Roman" w:hAnsi="Times New Roman" w:cs="Times New Roman"/>
          <w:b/>
          <w:bCs/>
          <w:i w:val="0"/>
          <w:iCs w:val="0"/>
          <w:color w:val="auto"/>
          <w:sz w:val="22"/>
          <w:szCs w:val="22"/>
        </w:rPr>
        <w:t xml:space="preserve"> </w:t>
      </w:r>
    </w:p>
    <w:p w14:paraId="77CC8E8A" w14:textId="77777777" w:rsidR="00333E67" w:rsidRPr="00333E67" w:rsidRDefault="00333E67" w:rsidP="00333E67">
      <w:pPr>
        <w:pStyle w:val="Descripcin"/>
        <w:keepNext/>
        <w:rPr>
          <w:rFonts w:ascii="Times New Roman" w:hAnsi="Times New Roman" w:cs="Times New Roman"/>
          <w:color w:val="auto"/>
          <w:sz w:val="22"/>
          <w:szCs w:val="22"/>
        </w:rPr>
      </w:pPr>
      <w:r w:rsidRPr="00333E67">
        <w:rPr>
          <w:rFonts w:ascii="Times New Roman" w:hAnsi="Times New Roman" w:cs="Times New Roman"/>
          <w:color w:val="auto"/>
          <w:sz w:val="22"/>
          <w:szCs w:val="22"/>
        </w:rPr>
        <w:t>Rentabilidad de las empresas</w:t>
      </w:r>
    </w:p>
    <w:p w14:paraId="7D854B86" w14:textId="77777777" w:rsidR="00544371" w:rsidRDefault="00301A82" w:rsidP="00D24C23">
      <w:pPr>
        <w:tabs>
          <w:tab w:val="left" w:pos="2895"/>
        </w:tabs>
        <w:spacing w:before="240" w:line="240" w:lineRule="auto"/>
        <w:ind w:firstLine="720"/>
        <w:jc w:val="center"/>
        <w:rPr>
          <w:rFonts w:ascii="Times New Roman" w:hAnsi="Times New Roman" w:cs="Times New Roman"/>
          <w:sz w:val="24"/>
          <w:szCs w:val="24"/>
          <w:lang w:val="es-ES"/>
        </w:rPr>
      </w:pPr>
      <w:r>
        <w:rPr>
          <w:rFonts w:ascii="Times New Roman" w:hAnsi="Times New Roman" w:cs="Times New Roman"/>
          <w:noProof/>
          <w:sz w:val="24"/>
          <w:szCs w:val="24"/>
          <w:lang w:val="es-ES"/>
        </w:rPr>
        <w:drawing>
          <wp:inline distT="0" distB="0" distL="0" distR="0" wp14:anchorId="34A5F072" wp14:editId="2AD4815B">
            <wp:extent cx="4090670" cy="585470"/>
            <wp:effectExtent l="0" t="0" r="5080" b="508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90670" cy="585470"/>
                    </a:xfrm>
                    <a:prstGeom prst="rect">
                      <a:avLst/>
                    </a:prstGeom>
                    <a:noFill/>
                  </pic:spPr>
                </pic:pic>
              </a:graphicData>
            </a:graphic>
          </wp:inline>
        </w:drawing>
      </w:r>
    </w:p>
    <w:p w14:paraId="7DAF5C92" w14:textId="77777777" w:rsidR="00301A82" w:rsidRDefault="00301A82" w:rsidP="00301A82">
      <w:pPr>
        <w:tabs>
          <w:tab w:val="left" w:pos="2850"/>
        </w:tabs>
        <w:spacing w:line="240" w:lineRule="auto"/>
        <w:ind w:firstLine="720"/>
        <w:rPr>
          <w:rFonts w:ascii="Times New Roman" w:hAnsi="Times New Roman" w:cs="Times New Roman"/>
          <w:sz w:val="24"/>
        </w:rPr>
      </w:pPr>
      <w:r>
        <w:rPr>
          <w:rFonts w:ascii="Times New Roman" w:hAnsi="Times New Roman" w:cs="Times New Roman"/>
          <w:sz w:val="24"/>
        </w:rPr>
        <w:t xml:space="preserve">Nota: resultado global de las empresas teniendo en cuenta la rentabilidad durante los años 2015 y 2021. </w:t>
      </w:r>
      <w:r w:rsidRPr="00D56520">
        <w:rPr>
          <w:rFonts w:ascii="Times New Roman" w:hAnsi="Times New Roman" w:cs="Times New Roman"/>
          <w:sz w:val="24"/>
        </w:rPr>
        <w:t>Fuente:</w:t>
      </w:r>
      <w:r>
        <w:rPr>
          <w:rFonts w:ascii="Times New Roman" w:hAnsi="Times New Roman" w:cs="Times New Roman"/>
          <w:sz w:val="24"/>
        </w:rPr>
        <w:t xml:space="preserve"> elaboración propia (2022).</w:t>
      </w:r>
    </w:p>
    <w:p w14:paraId="4B7F47D9" w14:textId="77777777" w:rsidR="00301A82" w:rsidRPr="002632FE" w:rsidRDefault="00301A82" w:rsidP="00301A82">
      <w:pPr>
        <w:tabs>
          <w:tab w:val="left" w:pos="2850"/>
        </w:tabs>
        <w:spacing w:after="0" w:line="240" w:lineRule="auto"/>
        <w:ind w:firstLine="720"/>
        <w:jc w:val="both"/>
        <w:rPr>
          <w:rFonts w:ascii="Times New Roman" w:hAnsi="Times New Roman" w:cs="Times New Roman"/>
          <w:sz w:val="24"/>
        </w:rPr>
      </w:pPr>
      <w:r w:rsidRPr="002632FE">
        <w:rPr>
          <w:rFonts w:ascii="Times New Roman" w:hAnsi="Times New Roman" w:cs="Times New Roman"/>
          <w:sz w:val="24"/>
        </w:rPr>
        <w:t xml:space="preserve">En la </w:t>
      </w:r>
      <w:r w:rsidR="00D24C23">
        <w:rPr>
          <w:rFonts w:ascii="Times New Roman" w:hAnsi="Times New Roman" w:cs="Times New Roman"/>
          <w:sz w:val="24"/>
        </w:rPr>
        <w:t>tabla analizada</w:t>
      </w:r>
      <w:r w:rsidRPr="002632FE">
        <w:rPr>
          <w:rFonts w:ascii="Times New Roman" w:hAnsi="Times New Roman" w:cs="Times New Roman"/>
          <w:sz w:val="24"/>
        </w:rPr>
        <w:t xml:space="preserve">, </w:t>
      </w:r>
      <w:r w:rsidR="00B63DE7">
        <w:rPr>
          <w:rFonts w:ascii="Times New Roman" w:hAnsi="Times New Roman" w:cs="Times New Roman"/>
          <w:sz w:val="24"/>
        </w:rPr>
        <w:t>se evidencia que l</w:t>
      </w:r>
      <w:r w:rsidRPr="002632FE">
        <w:rPr>
          <w:rFonts w:ascii="Times New Roman" w:hAnsi="Times New Roman" w:cs="Times New Roman"/>
          <w:sz w:val="24"/>
        </w:rPr>
        <w:t>a empresa que mayor rentabilidad tuvo fue Tecnoglass con 2,3984 %, quien fue impulsada durante el último año de estudio (2021) en el aumento de los precios de sus acciones y adicionalmente la estabilidad de los precios durante el tiempo ayudo a tener los mejores resultados en comparación a las demás.</w:t>
      </w:r>
    </w:p>
    <w:p w14:paraId="6CF41E94" w14:textId="77777777" w:rsidR="00D24C23" w:rsidRDefault="00301A82" w:rsidP="00D24C23">
      <w:pPr>
        <w:tabs>
          <w:tab w:val="left" w:pos="2850"/>
        </w:tabs>
        <w:spacing w:after="0" w:line="240" w:lineRule="auto"/>
        <w:ind w:firstLine="720"/>
        <w:jc w:val="both"/>
        <w:rPr>
          <w:rFonts w:ascii="Times New Roman" w:hAnsi="Times New Roman" w:cs="Times New Roman"/>
          <w:sz w:val="24"/>
        </w:rPr>
      </w:pPr>
      <w:r w:rsidRPr="002632FE">
        <w:rPr>
          <w:rFonts w:ascii="Times New Roman" w:hAnsi="Times New Roman" w:cs="Times New Roman"/>
          <w:sz w:val="24"/>
        </w:rPr>
        <w:t>A su vez, la empresa con peor rentabilidad durante este mismo periodo fue el Grupo Aval, la cual tuvo un valor de -0,375%, está empresa fue la última en empezar su cotización en NYSE y desde entonces el precio de la acción cayó, lo que hizo que la rentabilidad durante el período estuviera en números rojos.</w:t>
      </w:r>
      <w:r w:rsidR="00D24C23">
        <w:rPr>
          <w:rFonts w:ascii="Times New Roman" w:hAnsi="Times New Roman" w:cs="Times New Roman"/>
          <w:sz w:val="24"/>
        </w:rPr>
        <w:t xml:space="preserve"> Desde una grafica comparativa se pueden evidenciar los siguientes resultados.</w:t>
      </w:r>
    </w:p>
    <w:p w14:paraId="6C46104B" w14:textId="77777777" w:rsidR="00333E67" w:rsidRPr="00333E67" w:rsidRDefault="00333E67" w:rsidP="00333E67">
      <w:pPr>
        <w:pStyle w:val="Descripcin"/>
        <w:keepNext/>
        <w:spacing w:before="240"/>
        <w:rPr>
          <w:rFonts w:ascii="Times New Roman" w:hAnsi="Times New Roman" w:cs="Times New Roman"/>
          <w:b/>
          <w:bCs/>
          <w:i w:val="0"/>
          <w:iCs w:val="0"/>
          <w:color w:val="auto"/>
          <w:sz w:val="22"/>
          <w:szCs w:val="22"/>
        </w:rPr>
      </w:pPr>
      <w:r w:rsidRPr="00333E67">
        <w:rPr>
          <w:rFonts w:ascii="Times New Roman" w:hAnsi="Times New Roman" w:cs="Times New Roman"/>
          <w:b/>
          <w:bCs/>
          <w:i w:val="0"/>
          <w:iCs w:val="0"/>
          <w:color w:val="auto"/>
          <w:sz w:val="22"/>
          <w:szCs w:val="22"/>
        </w:rPr>
        <w:t xml:space="preserve">Gráfica </w:t>
      </w:r>
      <w:r w:rsidRPr="00333E67">
        <w:rPr>
          <w:rFonts w:ascii="Times New Roman" w:hAnsi="Times New Roman" w:cs="Times New Roman"/>
          <w:b/>
          <w:bCs/>
          <w:i w:val="0"/>
          <w:iCs w:val="0"/>
          <w:color w:val="auto"/>
          <w:sz w:val="22"/>
          <w:szCs w:val="22"/>
        </w:rPr>
        <w:fldChar w:fldCharType="begin"/>
      </w:r>
      <w:r w:rsidRPr="00333E67">
        <w:rPr>
          <w:rFonts w:ascii="Times New Roman" w:hAnsi="Times New Roman" w:cs="Times New Roman"/>
          <w:b/>
          <w:bCs/>
          <w:i w:val="0"/>
          <w:iCs w:val="0"/>
          <w:color w:val="auto"/>
          <w:sz w:val="22"/>
          <w:szCs w:val="22"/>
        </w:rPr>
        <w:instrText xml:space="preserve"> SEQ Gráfica \* ARABIC </w:instrText>
      </w:r>
      <w:r w:rsidRPr="00333E67">
        <w:rPr>
          <w:rFonts w:ascii="Times New Roman" w:hAnsi="Times New Roman" w:cs="Times New Roman"/>
          <w:b/>
          <w:bCs/>
          <w:i w:val="0"/>
          <w:iCs w:val="0"/>
          <w:color w:val="auto"/>
          <w:sz w:val="22"/>
          <w:szCs w:val="22"/>
        </w:rPr>
        <w:fldChar w:fldCharType="separate"/>
      </w:r>
      <w:r>
        <w:rPr>
          <w:rFonts w:ascii="Times New Roman" w:hAnsi="Times New Roman" w:cs="Times New Roman"/>
          <w:b/>
          <w:bCs/>
          <w:i w:val="0"/>
          <w:iCs w:val="0"/>
          <w:noProof/>
          <w:color w:val="auto"/>
          <w:sz w:val="22"/>
          <w:szCs w:val="22"/>
        </w:rPr>
        <w:t>5</w:t>
      </w:r>
      <w:r w:rsidRPr="00333E67">
        <w:rPr>
          <w:rFonts w:ascii="Times New Roman" w:hAnsi="Times New Roman" w:cs="Times New Roman"/>
          <w:b/>
          <w:bCs/>
          <w:i w:val="0"/>
          <w:iCs w:val="0"/>
          <w:color w:val="auto"/>
          <w:sz w:val="22"/>
          <w:szCs w:val="22"/>
        </w:rPr>
        <w:fldChar w:fldCharType="end"/>
      </w:r>
    </w:p>
    <w:p w14:paraId="56EC0940" w14:textId="77777777" w:rsidR="00333E67" w:rsidRPr="00333E67" w:rsidRDefault="00333E67" w:rsidP="00333E67">
      <w:pPr>
        <w:pStyle w:val="Descripcin"/>
        <w:keepNext/>
        <w:rPr>
          <w:rFonts w:ascii="Times New Roman" w:hAnsi="Times New Roman" w:cs="Times New Roman"/>
          <w:color w:val="auto"/>
          <w:sz w:val="22"/>
          <w:szCs w:val="22"/>
        </w:rPr>
      </w:pPr>
      <w:r w:rsidRPr="00333E67">
        <w:rPr>
          <w:rFonts w:ascii="Times New Roman" w:hAnsi="Times New Roman" w:cs="Times New Roman"/>
          <w:color w:val="auto"/>
          <w:sz w:val="22"/>
          <w:szCs w:val="22"/>
        </w:rPr>
        <w:t xml:space="preserve"> Rentabilidad de las empresas</w:t>
      </w:r>
    </w:p>
    <w:p w14:paraId="382BCDC4" w14:textId="77777777" w:rsidR="00D24C23" w:rsidRDefault="00D24C23" w:rsidP="00D24C23">
      <w:pPr>
        <w:tabs>
          <w:tab w:val="left" w:pos="2850"/>
        </w:tabs>
        <w:spacing w:after="0" w:line="240" w:lineRule="auto"/>
        <w:jc w:val="center"/>
        <w:rPr>
          <w:rFonts w:ascii="Times New Roman" w:hAnsi="Times New Roman" w:cs="Times New Roman"/>
          <w:sz w:val="24"/>
        </w:rPr>
      </w:pPr>
      <w:r>
        <w:rPr>
          <w:rFonts w:ascii="Times New Roman" w:hAnsi="Times New Roman" w:cs="Times New Roman"/>
          <w:noProof/>
          <w:sz w:val="24"/>
        </w:rPr>
        <w:drawing>
          <wp:inline distT="0" distB="0" distL="0" distR="0" wp14:anchorId="4314A398" wp14:editId="35734F2F">
            <wp:extent cx="2898499" cy="1813328"/>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98499" cy="1813328"/>
                    </a:xfrm>
                    <a:prstGeom prst="rect">
                      <a:avLst/>
                    </a:prstGeom>
                    <a:noFill/>
                  </pic:spPr>
                </pic:pic>
              </a:graphicData>
            </a:graphic>
          </wp:inline>
        </w:drawing>
      </w:r>
    </w:p>
    <w:p w14:paraId="0381B92A" w14:textId="77777777" w:rsidR="00D24C23" w:rsidRPr="00D24C23" w:rsidRDefault="00D24C23" w:rsidP="00D24C23">
      <w:pPr>
        <w:tabs>
          <w:tab w:val="left" w:pos="2850"/>
        </w:tabs>
        <w:spacing w:after="0" w:line="240" w:lineRule="auto"/>
        <w:rPr>
          <w:rFonts w:ascii="Times New Roman" w:hAnsi="Times New Roman" w:cs="Times New Roman"/>
          <w:b/>
          <w:bCs/>
          <w:sz w:val="24"/>
        </w:rPr>
      </w:pPr>
      <w:r w:rsidRPr="00D24C23">
        <w:rPr>
          <w:rFonts w:ascii="Times New Roman" w:hAnsi="Times New Roman" w:cs="Times New Roman"/>
          <w:b/>
          <w:bCs/>
          <w:sz w:val="24"/>
        </w:rPr>
        <w:t>Riesgo</w:t>
      </w:r>
    </w:p>
    <w:p w14:paraId="22A93562" w14:textId="77777777" w:rsidR="00D24C23" w:rsidRPr="00D24C23" w:rsidRDefault="00D24C23" w:rsidP="00D24C23">
      <w:pPr>
        <w:tabs>
          <w:tab w:val="left" w:pos="2850"/>
        </w:tabs>
        <w:spacing w:after="0" w:line="240" w:lineRule="auto"/>
        <w:rPr>
          <w:rFonts w:ascii="Times New Roman" w:hAnsi="Times New Roman" w:cs="Times New Roman"/>
          <w:sz w:val="24"/>
        </w:rPr>
      </w:pPr>
      <w:r>
        <w:rPr>
          <w:rFonts w:ascii="Times New Roman" w:hAnsi="Times New Roman" w:cs="Times New Roman"/>
          <w:sz w:val="24"/>
        </w:rPr>
        <w:t>Por otro lado, fue necesario analizar el riesgo de cada una de las empresas, donde se obtuvieron los siguientes resultados que fueron arrojados por Python.</w:t>
      </w:r>
    </w:p>
    <w:p w14:paraId="5071C21F" w14:textId="77777777" w:rsidR="00333E67" w:rsidRPr="00333E67" w:rsidRDefault="00333E67" w:rsidP="00333E67">
      <w:pPr>
        <w:pStyle w:val="Descripcin"/>
        <w:keepNext/>
        <w:spacing w:before="240"/>
        <w:rPr>
          <w:rFonts w:ascii="Times New Roman" w:hAnsi="Times New Roman" w:cs="Times New Roman"/>
          <w:b/>
          <w:bCs/>
          <w:i w:val="0"/>
          <w:iCs w:val="0"/>
          <w:color w:val="auto"/>
          <w:sz w:val="22"/>
          <w:szCs w:val="22"/>
        </w:rPr>
      </w:pPr>
      <w:r w:rsidRPr="00333E67">
        <w:rPr>
          <w:rFonts w:ascii="Times New Roman" w:hAnsi="Times New Roman" w:cs="Times New Roman"/>
          <w:b/>
          <w:bCs/>
          <w:i w:val="0"/>
          <w:iCs w:val="0"/>
          <w:color w:val="auto"/>
          <w:sz w:val="22"/>
          <w:szCs w:val="22"/>
        </w:rPr>
        <w:t xml:space="preserve">Tabla </w:t>
      </w:r>
      <w:r w:rsidRPr="00333E67">
        <w:rPr>
          <w:rFonts w:ascii="Times New Roman" w:hAnsi="Times New Roman" w:cs="Times New Roman"/>
          <w:b/>
          <w:bCs/>
          <w:i w:val="0"/>
          <w:iCs w:val="0"/>
          <w:color w:val="auto"/>
          <w:sz w:val="22"/>
          <w:szCs w:val="22"/>
        </w:rPr>
        <w:fldChar w:fldCharType="begin"/>
      </w:r>
      <w:r w:rsidRPr="00333E67">
        <w:rPr>
          <w:rFonts w:ascii="Times New Roman" w:hAnsi="Times New Roman" w:cs="Times New Roman"/>
          <w:b/>
          <w:bCs/>
          <w:i w:val="0"/>
          <w:iCs w:val="0"/>
          <w:color w:val="auto"/>
          <w:sz w:val="22"/>
          <w:szCs w:val="22"/>
        </w:rPr>
        <w:instrText xml:space="preserve"> SEQ Tabla \* ARABIC </w:instrText>
      </w:r>
      <w:r w:rsidRPr="00333E67">
        <w:rPr>
          <w:rFonts w:ascii="Times New Roman" w:hAnsi="Times New Roman" w:cs="Times New Roman"/>
          <w:b/>
          <w:bCs/>
          <w:i w:val="0"/>
          <w:iCs w:val="0"/>
          <w:color w:val="auto"/>
          <w:sz w:val="22"/>
          <w:szCs w:val="22"/>
        </w:rPr>
        <w:fldChar w:fldCharType="separate"/>
      </w:r>
      <w:r w:rsidRPr="00333E67">
        <w:rPr>
          <w:rFonts w:ascii="Times New Roman" w:hAnsi="Times New Roman" w:cs="Times New Roman"/>
          <w:b/>
          <w:bCs/>
          <w:i w:val="0"/>
          <w:iCs w:val="0"/>
          <w:noProof/>
          <w:color w:val="auto"/>
          <w:sz w:val="22"/>
          <w:szCs w:val="22"/>
        </w:rPr>
        <w:t>2</w:t>
      </w:r>
      <w:r w:rsidRPr="00333E67">
        <w:rPr>
          <w:rFonts w:ascii="Times New Roman" w:hAnsi="Times New Roman" w:cs="Times New Roman"/>
          <w:b/>
          <w:bCs/>
          <w:i w:val="0"/>
          <w:iCs w:val="0"/>
          <w:color w:val="auto"/>
          <w:sz w:val="22"/>
          <w:szCs w:val="22"/>
        </w:rPr>
        <w:fldChar w:fldCharType="end"/>
      </w:r>
      <w:r w:rsidRPr="00333E67">
        <w:rPr>
          <w:rFonts w:ascii="Times New Roman" w:hAnsi="Times New Roman" w:cs="Times New Roman"/>
          <w:b/>
          <w:bCs/>
          <w:i w:val="0"/>
          <w:iCs w:val="0"/>
          <w:color w:val="auto"/>
          <w:sz w:val="22"/>
          <w:szCs w:val="22"/>
        </w:rPr>
        <w:t xml:space="preserve"> </w:t>
      </w:r>
    </w:p>
    <w:p w14:paraId="37311114" w14:textId="77777777" w:rsidR="00333E67" w:rsidRPr="00333E67" w:rsidRDefault="00333E67" w:rsidP="00333E67">
      <w:pPr>
        <w:pStyle w:val="Descripcin"/>
        <w:keepNext/>
        <w:spacing w:before="240"/>
        <w:rPr>
          <w:rFonts w:ascii="Times New Roman" w:hAnsi="Times New Roman" w:cs="Times New Roman"/>
          <w:color w:val="auto"/>
          <w:sz w:val="22"/>
          <w:szCs w:val="22"/>
        </w:rPr>
      </w:pPr>
      <w:r w:rsidRPr="00333E67">
        <w:rPr>
          <w:rFonts w:ascii="Times New Roman" w:hAnsi="Times New Roman" w:cs="Times New Roman"/>
          <w:color w:val="auto"/>
          <w:sz w:val="22"/>
          <w:szCs w:val="22"/>
        </w:rPr>
        <w:t>Riesgo de las empresas</w:t>
      </w:r>
    </w:p>
    <w:p w14:paraId="706902BB" w14:textId="77777777" w:rsidR="00301A82" w:rsidRDefault="00301A82" w:rsidP="00D24C23">
      <w:pPr>
        <w:tabs>
          <w:tab w:val="left" w:pos="2895"/>
        </w:tabs>
        <w:spacing w:before="240" w:line="240" w:lineRule="auto"/>
        <w:jc w:val="center"/>
        <w:rPr>
          <w:rFonts w:ascii="Times New Roman" w:hAnsi="Times New Roman" w:cs="Times New Roman"/>
          <w:sz w:val="24"/>
          <w:szCs w:val="24"/>
          <w:lang w:val="es-ES"/>
        </w:rPr>
      </w:pPr>
      <w:r w:rsidRPr="002632FE">
        <w:rPr>
          <w:rFonts w:ascii="Times New Roman" w:eastAsia="Calibri" w:hAnsi="Times New Roman" w:cs="Times New Roman"/>
          <w:noProof/>
          <w:sz w:val="24"/>
          <w:szCs w:val="24"/>
          <w:lang w:eastAsia="es-CO"/>
        </w:rPr>
        <w:drawing>
          <wp:inline distT="0" distB="0" distL="0" distR="0" wp14:anchorId="12154332" wp14:editId="23B190B9">
            <wp:extent cx="3010619" cy="603298"/>
            <wp:effectExtent l="0" t="0" r="0" b="6350"/>
            <wp:docPr id="48" name="Imagen 48" descr="Interfaz de usuario gráfica, Texto,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Imagen 37" descr="Interfaz de usuario gráfica, Texto, Aplicación&#10;&#10;Descripción generada automáticamente"/>
                    <pic:cNvPicPr/>
                  </pic:nvPicPr>
                  <pic:blipFill rotWithShape="1">
                    <a:blip r:embed="rId11">
                      <a:extLst>
                        <a:ext uri="{28A0092B-C50C-407E-A947-70E740481C1C}">
                          <a14:useLocalDpi xmlns:a14="http://schemas.microsoft.com/office/drawing/2010/main" val="0"/>
                        </a:ext>
                      </a:extLst>
                    </a:blip>
                    <a:srcRect l="15569" t="58267" r="58780" b="32591"/>
                    <a:stretch/>
                  </pic:blipFill>
                  <pic:spPr bwMode="auto">
                    <a:xfrm>
                      <a:off x="0" y="0"/>
                      <a:ext cx="3051086" cy="611407"/>
                    </a:xfrm>
                    <a:prstGeom prst="rect">
                      <a:avLst/>
                    </a:prstGeom>
                    <a:ln>
                      <a:noFill/>
                    </a:ln>
                    <a:extLst>
                      <a:ext uri="{53640926-AAD7-44D8-BBD7-CCE9431645EC}">
                        <a14:shadowObscured xmlns:a14="http://schemas.microsoft.com/office/drawing/2010/main"/>
                      </a:ext>
                    </a:extLst>
                  </pic:spPr>
                </pic:pic>
              </a:graphicData>
            </a:graphic>
          </wp:inline>
        </w:drawing>
      </w:r>
    </w:p>
    <w:p w14:paraId="079AB14E" w14:textId="77777777" w:rsidR="00D24C23" w:rsidRPr="00D24C23" w:rsidRDefault="00D24C23" w:rsidP="00D24C23">
      <w:pPr>
        <w:tabs>
          <w:tab w:val="left" w:pos="2895"/>
        </w:tabs>
        <w:spacing w:line="240" w:lineRule="auto"/>
        <w:rPr>
          <w:rFonts w:ascii="Times New Roman" w:hAnsi="Times New Roman" w:cs="Times New Roman"/>
          <w:sz w:val="24"/>
          <w:szCs w:val="24"/>
          <w:lang w:val="es-ES"/>
        </w:rPr>
      </w:pPr>
      <w:r w:rsidRPr="00D24C23">
        <w:rPr>
          <w:rFonts w:ascii="Times New Roman" w:hAnsi="Times New Roman" w:cs="Times New Roman"/>
          <w:sz w:val="24"/>
          <w:szCs w:val="24"/>
          <w:lang w:val="es-ES"/>
        </w:rPr>
        <w:t>Nota: Resultados de riesgos durante los años 2015 y 2021. Fuente: elaboración propia (2022).</w:t>
      </w:r>
    </w:p>
    <w:p w14:paraId="5490AA11" w14:textId="77777777" w:rsidR="00D24C23" w:rsidRDefault="00D24C23" w:rsidP="00D24C23">
      <w:pPr>
        <w:tabs>
          <w:tab w:val="left" w:pos="2895"/>
        </w:tabs>
        <w:spacing w:line="240" w:lineRule="auto"/>
        <w:ind w:firstLine="720"/>
        <w:rPr>
          <w:rFonts w:ascii="Times New Roman" w:hAnsi="Times New Roman" w:cs="Times New Roman"/>
          <w:sz w:val="24"/>
          <w:szCs w:val="24"/>
          <w:lang w:val="es-ES"/>
        </w:rPr>
      </w:pPr>
      <w:r w:rsidRPr="00D24C23">
        <w:rPr>
          <w:rFonts w:ascii="Times New Roman" w:hAnsi="Times New Roman" w:cs="Times New Roman"/>
          <w:sz w:val="24"/>
          <w:szCs w:val="24"/>
          <w:lang w:val="es-ES"/>
        </w:rPr>
        <w:t xml:space="preserve">En la </w:t>
      </w:r>
      <w:r>
        <w:rPr>
          <w:rFonts w:ascii="Times New Roman" w:hAnsi="Times New Roman" w:cs="Times New Roman"/>
          <w:sz w:val="24"/>
          <w:szCs w:val="24"/>
          <w:lang w:val="es-ES"/>
        </w:rPr>
        <w:t>tabla anterior</w:t>
      </w:r>
      <w:r w:rsidRPr="00D24C23">
        <w:rPr>
          <w:rFonts w:ascii="Times New Roman" w:hAnsi="Times New Roman" w:cs="Times New Roman"/>
          <w:sz w:val="24"/>
          <w:szCs w:val="24"/>
          <w:lang w:val="es-ES"/>
        </w:rPr>
        <w:t xml:space="preserve"> se obtuvieron los resultados de riesgo de las empresas que se estudiaron; Tecnoglass fue la empresa que mayor nivel de riesgo tuvo con un 16.48%; su opuesto fue el Grupo Aval quien tuvo el nivel de riesgo más bajo con un 9,17%. Estos resultados se basan en las variaciones de los precios de las acciones durante los años en los </w:t>
      </w:r>
      <w:r w:rsidRPr="00D24C23">
        <w:rPr>
          <w:rFonts w:ascii="Times New Roman" w:hAnsi="Times New Roman" w:cs="Times New Roman"/>
          <w:sz w:val="24"/>
          <w:szCs w:val="24"/>
          <w:lang w:val="es-ES"/>
        </w:rPr>
        <w:lastRenderedPageBreak/>
        <w:t xml:space="preserve">que se estudiaron, para ello se tomaron los valores de los rendimientos y se le aplicó la fórmula de la desviación estándar; debido a esto se presentan estos resultados ya que los precios con mayor variación y más inestables fueron los de la acción de Tecnoglass a esto se debe su el valor que se obtuvo. </w:t>
      </w:r>
    </w:p>
    <w:p w14:paraId="4CD938E0" w14:textId="77777777" w:rsidR="00333E67" w:rsidRPr="00333E67" w:rsidRDefault="00333E67" w:rsidP="00333E67">
      <w:pPr>
        <w:pStyle w:val="Descripcin"/>
        <w:keepNext/>
        <w:rPr>
          <w:rFonts w:ascii="Times New Roman" w:hAnsi="Times New Roman" w:cs="Times New Roman"/>
          <w:b/>
          <w:bCs/>
          <w:i w:val="0"/>
          <w:iCs w:val="0"/>
          <w:color w:val="auto"/>
          <w:sz w:val="22"/>
          <w:szCs w:val="22"/>
        </w:rPr>
      </w:pPr>
      <w:r w:rsidRPr="00333E67">
        <w:rPr>
          <w:rFonts w:ascii="Times New Roman" w:hAnsi="Times New Roman" w:cs="Times New Roman"/>
          <w:b/>
          <w:bCs/>
          <w:i w:val="0"/>
          <w:iCs w:val="0"/>
          <w:color w:val="auto"/>
          <w:sz w:val="22"/>
          <w:szCs w:val="22"/>
        </w:rPr>
        <w:t xml:space="preserve">Gráfica </w:t>
      </w:r>
      <w:r w:rsidRPr="00333E67">
        <w:rPr>
          <w:rFonts w:ascii="Times New Roman" w:hAnsi="Times New Roman" w:cs="Times New Roman"/>
          <w:b/>
          <w:bCs/>
          <w:i w:val="0"/>
          <w:iCs w:val="0"/>
          <w:color w:val="auto"/>
          <w:sz w:val="22"/>
          <w:szCs w:val="22"/>
        </w:rPr>
        <w:fldChar w:fldCharType="begin"/>
      </w:r>
      <w:r w:rsidRPr="00333E67">
        <w:rPr>
          <w:rFonts w:ascii="Times New Roman" w:hAnsi="Times New Roman" w:cs="Times New Roman"/>
          <w:b/>
          <w:bCs/>
          <w:i w:val="0"/>
          <w:iCs w:val="0"/>
          <w:color w:val="auto"/>
          <w:sz w:val="22"/>
          <w:szCs w:val="22"/>
        </w:rPr>
        <w:instrText xml:space="preserve"> SEQ Gráfica \* ARABIC </w:instrText>
      </w:r>
      <w:r w:rsidRPr="00333E67">
        <w:rPr>
          <w:rFonts w:ascii="Times New Roman" w:hAnsi="Times New Roman" w:cs="Times New Roman"/>
          <w:b/>
          <w:bCs/>
          <w:i w:val="0"/>
          <w:iCs w:val="0"/>
          <w:color w:val="auto"/>
          <w:sz w:val="22"/>
          <w:szCs w:val="22"/>
        </w:rPr>
        <w:fldChar w:fldCharType="separate"/>
      </w:r>
      <w:r w:rsidRPr="00333E67">
        <w:rPr>
          <w:rFonts w:ascii="Times New Roman" w:hAnsi="Times New Roman" w:cs="Times New Roman"/>
          <w:b/>
          <w:bCs/>
          <w:i w:val="0"/>
          <w:iCs w:val="0"/>
          <w:noProof/>
          <w:color w:val="auto"/>
          <w:sz w:val="22"/>
          <w:szCs w:val="22"/>
        </w:rPr>
        <w:t>6</w:t>
      </w:r>
      <w:r w:rsidRPr="00333E67">
        <w:rPr>
          <w:rFonts w:ascii="Times New Roman" w:hAnsi="Times New Roman" w:cs="Times New Roman"/>
          <w:b/>
          <w:bCs/>
          <w:i w:val="0"/>
          <w:iCs w:val="0"/>
          <w:color w:val="auto"/>
          <w:sz w:val="22"/>
          <w:szCs w:val="22"/>
        </w:rPr>
        <w:fldChar w:fldCharType="end"/>
      </w:r>
      <w:r w:rsidRPr="00333E67">
        <w:rPr>
          <w:rFonts w:ascii="Times New Roman" w:hAnsi="Times New Roman" w:cs="Times New Roman"/>
          <w:b/>
          <w:bCs/>
          <w:i w:val="0"/>
          <w:iCs w:val="0"/>
          <w:color w:val="auto"/>
          <w:sz w:val="22"/>
          <w:szCs w:val="22"/>
        </w:rPr>
        <w:t xml:space="preserve"> </w:t>
      </w:r>
    </w:p>
    <w:p w14:paraId="4467B607" w14:textId="77777777" w:rsidR="00333E67" w:rsidRPr="00333E67" w:rsidRDefault="00333E67" w:rsidP="00333E67">
      <w:pPr>
        <w:pStyle w:val="Descripcin"/>
        <w:keepNext/>
        <w:rPr>
          <w:rFonts w:ascii="Times New Roman" w:hAnsi="Times New Roman" w:cs="Times New Roman"/>
          <w:sz w:val="22"/>
          <w:szCs w:val="22"/>
        </w:rPr>
      </w:pPr>
      <w:r w:rsidRPr="00333E67">
        <w:rPr>
          <w:rFonts w:ascii="Times New Roman" w:hAnsi="Times New Roman" w:cs="Times New Roman"/>
          <w:color w:val="auto"/>
          <w:sz w:val="22"/>
          <w:szCs w:val="22"/>
        </w:rPr>
        <w:t>Riesgo de las empresas</w:t>
      </w:r>
    </w:p>
    <w:p w14:paraId="59BEFD6A" w14:textId="77777777" w:rsidR="00B63DE7" w:rsidRPr="00D24C23" w:rsidRDefault="00B63DE7" w:rsidP="007D4800">
      <w:pPr>
        <w:tabs>
          <w:tab w:val="left" w:pos="2895"/>
        </w:tabs>
        <w:spacing w:line="240" w:lineRule="auto"/>
        <w:ind w:firstLine="720"/>
        <w:jc w:val="center"/>
        <w:rPr>
          <w:rFonts w:ascii="Times New Roman" w:hAnsi="Times New Roman" w:cs="Times New Roman"/>
          <w:sz w:val="24"/>
          <w:szCs w:val="24"/>
          <w:lang w:val="es-ES"/>
        </w:rPr>
      </w:pPr>
      <w:r>
        <w:rPr>
          <w:rFonts w:ascii="Times New Roman" w:hAnsi="Times New Roman" w:cs="Times New Roman"/>
          <w:noProof/>
          <w:sz w:val="24"/>
          <w:szCs w:val="24"/>
          <w:lang w:val="es-ES"/>
        </w:rPr>
        <w:drawing>
          <wp:inline distT="0" distB="0" distL="0" distR="0" wp14:anchorId="3E9F23CF" wp14:editId="7A2DA026">
            <wp:extent cx="3071004" cy="1916163"/>
            <wp:effectExtent l="0" t="0" r="0" b="825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71004" cy="1916163"/>
                    </a:xfrm>
                    <a:prstGeom prst="rect">
                      <a:avLst/>
                    </a:prstGeom>
                    <a:noFill/>
                  </pic:spPr>
                </pic:pic>
              </a:graphicData>
            </a:graphic>
          </wp:inline>
        </w:drawing>
      </w:r>
    </w:p>
    <w:p w14:paraId="0F0CA14E" w14:textId="77777777" w:rsidR="00D24C23" w:rsidRDefault="00D24C23" w:rsidP="00D24C23">
      <w:pPr>
        <w:tabs>
          <w:tab w:val="left" w:pos="2895"/>
        </w:tabs>
        <w:spacing w:line="240" w:lineRule="auto"/>
        <w:ind w:firstLine="720"/>
        <w:rPr>
          <w:rFonts w:ascii="Times New Roman" w:hAnsi="Times New Roman" w:cs="Times New Roman"/>
          <w:sz w:val="24"/>
          <w:szCs w:val="24"/>
          <w:lang w:val="es-ES"/>
        </w:rPr>
      </w:pPr>
      <w:r w:rsidRPr="00D24C23">
        <w:rPr>
          <w:rFonts w:ascii="Times New Roman" w:hAnsi="Times New Roman" w:cs="Times New Roman"/>
          <w:sz w:val="24"/>
          <w:szCs w:val="24"/>
          <w:lang w:val="es-ES"/>
        </w:rPr>
        <w:t xml:space="preserve">Adicionalmente, se realizó </w:t>
      </w:r>
      <w:r w:rsidR="00B63DE7">
        <w:rPr>
          <w:rFonts w:ascii="Times New Roman" w:hAnsi="Times New Roman" w:cs="Times New Roman"/>
          <w:sz w:val="24"/>
          <w:szCs w:val="24"/>
          <w:lang w:val="es-ES"/>
        </w:rPr>
        <w:t>un análisis</w:t>
      </w:r>
      <w:r w:rsidRPr="00D24C23">
        <w:rPr>
          <w:rFonts w:ascii="Times New Roman" w:hAnsi="Times New Roman" w:cs="Times New Roman"/>
          <w:sz w:val="24"/>
          <w:szCs w:val="24"/>
          <w:lang w:val="es-ES"/>
        </w:rPr>
        <w:t xml:space="preserve"> para encontrar los valores tanto de rentabilidad como la de riesgo de cada una de las empresas en cada uno de los años en los que se realizó el trabajo de investigación con el fin de poder analizar el comportamiento de cada una y poder compararlas entre sí</w:t>
      </w:r>
      <w:r w:rsidR="00B63DE7">
        <w:rPr>
          <w:rFonts w:ascii="Times New Roman" w:hAnsi="Times New Roman" w:cs="Times New Roman"/>
          <w:sz w:val="24"/>
          <w:szCs w:val="24"/>
          <w:lang w:val="es-ES"/>
        </w:rPr>
        <w:t>. Cabe destacar que gráficamente se evidencia que la empresa con mayor nivel de riesgo es Tecnoglass, el cual se incrementó de manera significativa en el 2021.</w:t>
      </w:r>
    </w:p>
    <w:p w14:paraId="7294DFFC" w14:textId="77777777" w:rsidR="00C75A41" w:rsidRPr="007D4800" w:rsidRDefault="00C75A41" w:rsidP="007D4800">
      <w:pPr>
        <w:tabs>
          <w:tab w:val="left" w:pos="2895"/>
        </w:tabs>
        <w:spacing w:line="240" w:lineRule="auto"/>
        <w:jc w:val="center"/>
        <w:rPr>
          <w:rFonts w:ascii="Times New Roman" w:hAnsi="Times New Roman" w:cs="Times New Roman"/>
          <w:b/>
          <w:bCs/>
          <w:sz w:val="24"/>
          <w:szCs w:val="24"/>
          <w:lang w:val="es-ES"/>
        </w:rPr>
      </w:pPr>
      <w:r w:rsidRPr="007D4800">
        <w:rPr>
          <w:rFonts w:ascii="Times New Roman" w:hAnsi="Times New Roman" w:cs="Times New Roman"/>
          <w:b/>
          <w:bCs/>
          <w:sz w:val="24"/>
          <w:szCs w:val="24"/>
          <w:lang w:val="es-ES"/>
        </w:rPr>
        <w:t>Conclusi</w:t>
      </w:r>
      <w:r w:rsidR="007D4800" w:rsidRPr="007D4800">
        <w:rPr>
          <w:rFonts w:ascii="Times New Roman" w:hAnsi="Times New Roman" w:cs="Times New Roman"/>
          <w:b/>
          <w:bCs/>
          <w:sz w:val="24"/>
          <w:szCs w:val="24"/>
          <w:lang w:val="es-ES"/>
        </w:rPr>
        <w:t>ones</w:t>
      </w:r>
    </w:p>
    <w:p w14:paraId="5461BEA8" w14:textId="77777777" w:rsidR="007D4800" w:rsidRDefault="007D4800" w:rsidP="00D24C23">
      <w:pPr>
        <w:tabs>
          <w:tab w:val="left" w:pos="2895"/>
        </w:tabs>
        <w:spacing w:line="240" w:lineRule="auto"/>
        <w:ind w:firstLine="720"/>
        <w:rPr>
          <w:rFonts w:ascii="Times New Roman" w:hAnsi="Times New Roman" w:cs="Times New Roman"/>
          <w:sz w:val="24"/>
          <w:szCs w:val="24"/>
          <w:lang w:val="es-ES"/>
        </w:rPr>
      </w:pPr>
      <w:r>
        <w:rPr>
          <w:rFonts w:ascii="Times New Roman" w:hAnsi="Times New Roman" w:cs="Times New Roman"/>
          <w:sz w:val="24"/>
          <w:szCs w:val="24"/>
          <w:lang w:val="es-ES"/>
        </w:rPr>
        <w:t>Desde un punto de vista teórico es posible establecer que son diversas las variables que pueden afectar la postura de las empresas frente a su aversión al riesgo, entre las que se encuentran aspectos como el contexto económico del país en el que opera la entidad emisora, así como los requerimientos rigurosos de declaración de información financiera, elementos que a su vez no son del todo favorables para las empresas situadas en una economía emergente como lo es Colombia.</w:t>
      </w:r>
    </w:p>
    <w:p w14:paraId="44DC1377" w14:textId="77777777" w:rsidR="00C75A41" w:rsidRDefault="007D4800" w:rsidP="00D24C23">
      <w:pPr>
        <w:tabs>
          <w:tab w:val="left" w:pos="2895"/>
        </w:tabs>
        <w:spacing w:line="240" w:lineRule="auto"/>
        <w:ind w:firstLine="720"/>
        <w:rPr>
          <w:rFonts w:ascii="Times New Roman" w:hAnsi="Times New Roman" w:cs="Times New Roman"/>
          <w:sz w:val="24"/>
          <w:szCs w:val="24"/>
          <w:lang w:val="es-ES"/>
        </w:rPr>
      </w:pPr>
      <w:r>
        <w:rPr>
          <w:rFonts w:ascii="Times New Roman" w:hAnsi="Times New Roman" w:cs="Times New Roman"/>
          <w:sz w:val="24"/>
          <w:szCs w:val="24"/>
          <w:lang w:val="es-ES"/>
        </w:rPr>
        <w:t>Un elemento que se evidencia en el estudio es que uno de los mayores causantes de la caída de los precios de las acciones fue el impacto ocasionado por la pandemia de COVID-19, dado el escenario de incertidumbre generado en el mercado de valores, lo que probablemente llevó a la generación de perdidas millonarias en las organizaciones participantes de dicho mercado.</w:t>
      </w:r>
    </w:p>
    <w:p w14:paraId="49E38D4D" w14:textId="77777777" w:rsidR="007D4800" w:rsidRDefault="007D4800" w:rsidP="00D24C23">
      <w:pPr>
        <w:tabs>
          <w:tab w:val="left" w:pos="2895"/>
        </w:tabs>
        <w:spacing w:line="240" w:lineRule="auto"/>
        <w:ind w:firstLine="720"/>
        <w:rPr>
          <w:rFonts w:ascii="Times New Roman" w:hAnsi="Times New Roman" w:cs="Times New Roman"/>
          <w:sz w:val="24"/>
          <w:szCs w:val="24"/>
          <w:lang w:val="es-ES"/>
        </w:rPr>
      </w:pPr>
      <w:r w:rsidRPr="007D4800">
        <w:rPr>
          <w:rFonts w:ascii="Times New Roman" w:hAnsi="Times New Roman" w:cs="Times New Roman"/>
          <w:sz w:val="24"/>
          <w:szCs w:val="24"/>
          <w:lang w:val="es-ES"/>
        </w:rPr>
        <w:t xml:space="preserve">En el estudio del riesgo y rentabilidad de cada empresa se pudo evidenciar que el riesgo de estas se vio afectado a causa de las variaciones drásticas </w:t>
      </w:r>
      <w:r>
        <w:rPr>
          <w:rFonts w:ascii="Times New Roman" w:hAnsi="Times New Roman" w:cs="Times New Roman"/>
          <w:sz w:val="24"/>
          <w:szCs w:val="24"/>
          <w:lang w:val="es-ES"/>
        </w:rPr>
        <w:t>presentadas en</w:t>
      </w:r>
      <w:r w:rsidRPr="007D4800">
        <w:rPr>
          <w:rFonts w:ascii="Times New Roman" w:hAnsi="Times New Roman" w:cs="Times New Roman"/>
          <w:sz w:val="24"/>
          <w:szCs w:val="24"/>
          <w:lang w:val="es-ES"/>
        </w:rPr>
        <w:t xml:space="preserve"> los precios de las acciones, sin embargo, respecto a la rentabilidad no va ligada a este</w:t>
      </w:r>
      <w:r>
        <w:rPr>
          <w:rFonts w:ascii="Times New Roman" w:hAnsi="Times New Roman" w:cs="Times New Roman"/>
          <w:sz w:val="24"/>
          <w:szCs w:val="24"/>
          <w:lang w:val="es-ES"/>
        </w:rPr>
        <w:t xml:space="preserve"> elemento</w:t>
      </w:r>
      <w:r w:rsidRPr="007D4800">
        <w:rPr>
          <w:rFonts w:ascii="Times New Roman" w:hAnsi="Times New Roman" w:cs="Times New Roman"/>
          <w:sz w:val="24"/>
          <w:szCs w:val="24"/>
          <w:lang w:val="es-ES"/>
        </w:rPr>
        <w:t xml:space="preserve">, como se pudo ver Tecnoglass fue la empresa </w:t>
      </w:r>
      <w:r>
        <w:rPr>
          <w:rFonts w:ascii="Times New Roman" w:hAnsi="Times New Roman" w:cs="Times New Roman"/>
          <w:sz w:val="24"/>
          <w:szCs w:val="24"/>
          <w:lang w:val="es-ES"/>
        </w:rPr>
        <w:t>con</w:t>
      </w:r>
      <w:r w:rsidRPr="007D4800">
        <w:rPr>
          <w:rFonts w:ascii="Times New Roman" w:hAnsi="Times New Roman" w:cs="Times New Roman"/>
          <w:sz w:val="24"/>
          <w:szCs w:val="24"/>
          <w:lang w:val="es-ES"/>
        </w:rPr>
        <w:t xml:space="preserve"> mayor rentabilidad dentro del periodo de estudio, pero, fue la empresa que mayor riesgo tuvo, lo cual en muchas ocasiones no es muy apetecido por los oferentes debido a que prefieren un riesgo más bajo con una rentabilidad aceptable.</w:t>
      </w:r>
    </w:p>
    <w:p w14:paraId="39B0B158" w14:textId="77777777" w:rsidR="00192B1D" w:rsidRDefault="00192B1D" w:rsidP="00192B1D">
      <w:pPr>
        <w:tabs>
          <w:tab w:val="left" w:pos="2895"/>
        </w:tabs>
        <w:spacing w:line="240" w:lineRule="auto"/>
        <w:rPr>
          <w:rFonts w:ascii="Times New Roman" w:hAnsi="Times New Roman" w:cs="Times New Roman"/>
          <w:sz w:val="24"/>
          <w:szCs w:val="24"/>
          <w:lang w:val="es-ES"/>
        </w:rPr>
      </w:pPr>
    </w:p>
    <w:p w14:paraId="4A9045CC" w14:textId="77777777" w:rsidR="00192B1D" w:rsidRDefault="00192B1D" w:rsidP="00192B1D">
      <w:pPr>
        <w:tabs>
          <w:tab w:val="left" w:pos="2895"/>
        </w:tabs>
        <w:spacing w:line="240" w:lineRule="auto"/>
        <w:rPr>
          <w:rFonts w:ascii="Times New Roman" w:hAnsi="Times New Roman" w:cs="Times New Roman"/>
          <w:sz w:val="24"/>
          <w:szCs w:val="24"/>
          <w:lang w:val="es-ES"/>
        </w:rPr>
      </w:pPr>
    </w:p>
    <w:p w14:paraId="1BD2923B" w14:textId="77777777" w:rsidR="00192B1D" w:rsidRDefault="00192B1D" w:rsidP="00192B1D">
      <w:pPr>
        <w:tabs>
          <w:tab w:val="left" w:pos="2895"/>
        </w:tabs>
        <w:spacing w:line="240" w:lineRule="auto"/>
        <w:rPr>
          <w:rFonts w:ascii="Times New Roman" w:hAnsi="Times New Roman" w:cs="Times New Roman"/>
          <w:sz w:val="24"/>
          <w:szCs w:val="24"/>
          <w:lang w:val="es-ES"/>
        </w:rPr>
      </w:pPr>
    </w:p>
    <w:sdt>
      <w:sdtPr>
        <w:rPr>
          <w:rFonts w:asciiTheme="minorHAnsi" w:eastAsiaTheme="minorHAnsi" w:hAnsiTheme="minorHAnsi" w:cstheme="minorBidi"/>
          <w:color w:val="auto"/>
          <w:sz w:val="22"/>
          <w:szCs w:val="22"/>
          <w:lang w:val="es-ES" w:eastAsia="en-US"/>
        </w:rPr>
        <w:id w:val="-1852715679"/>
        <w:docPartObj>
          <w:docPartGallery w:val="Bibliographies"/>
          <w:docPartUnique/>
        </w:docPartObj>
      </w:sdtPr>
      <w:sdtEndPr>
        <w:rPr>
          <w:lang w:val="es-CO"/>
        </w:rPr>
      </w:sdtEndPr>
      <w:sdtContent>
        <w:p w14:paraId="7840A338" w14:textId="77777777" w:rsidR="00192B1D" w:rsidRPr="00192B1D" w:rsidRDefault="00192B1D" w:rsidP="00192B1D">
          <w:pPr>
            <w:pStyle w:val="Ttulo1"/>
            <w:jc w:val="center"/>
            <w:rPr>
              <w:rFonts w:ascii="Times New Roman" w:hAnsi="Times New Roman" w:cs="Times New Roman"/>
              <w:b/>
              <w:bCs/>
              <w:color w:val="auto"/>
              <w:sz w:val="24"/>
              <w:szCs w:val="24"/>
            </w:rPr>
          </w:pPr>
          <w:r w:rsidRPr="00192B1D">
            <w:rPr>
              <w:rFonts w:ascii="Times New Roman" w:hAnsi="Times New Roman" w:cs="Times New Roman"/>
              <w:b/>
              <w:bCs/>
              <w:color w:val="auto"/>
              <w:sz w:val="24"/>
              <w:szCs w:val="24"/>
              <w:lang w:val="es-ES"/>
            </w:rPr>
            <w:t>Referencias</w:t>
          </w:r>
        </w:p>
        <w:sdt>
          <w:sdtPr>
            <w:rPr>
              <w:rFonts w:ascii="Times New Roman" w:hAnsi="Times New Roman" w:cs="Times New Roman"/>
              <w:sz w:val="24"/>
              <w:szCs w:val="24"/>
            </w:rPr>
            <w:id w:val="-573587230"/>
            <w:bibliography/>
          </w:sdtPr>
          <w:sdtEndPr>
            <w:rPr>
              <w:rFonts w:asciiTheme="minorHAnsi" w:hAnsiTheme="minorHAnsi" w:cstheme="minorBidi"/>
              <w:sz w:val="22"/>
              <w:szCs w:val="22"/>
            </w:rPr>
          </w:sdtEndPr>
          <w:sdtContent>
            <w:p w14:paraId="62C2879D" w14:textId="77777777" w:rsidR="00192B1D" w:rsidRPr="00192B1D" w:rsidRDefault="00192B1D" w:rsidP="00192B1D">
              <w:pPr>
                <w:pStyle w:val="Bibliografa"/>
                <w:ind w:left="720" w:hanging="720"/>
                <w:rPr>
                  <w:rFonts w:ascii="Times New Roman" w:hAnsi="Times New Roman" w:cs="Times New Roman"/>
                  <w:noProof/>
                  <w:sz w:val="24"/>
                  <w:szCs w:val="24"/>
                  <w:lang w:val="es-ES"/>
                </w:rPr>
              </w:pPr>
              <w:r w:rsidRPr="00192B1D">
                <w:rPr>
                  <w:rFonts w:ascii="Times New Roman" w:hAnsi="Times New Roman" w:cs="Times New Roman"/>
                  <w:sz w:val="24"/>
                  <w:szCs w:val="24"/>
                </w:rPr>
                <w:fldChar w:fldCharType="begin"/>
              </w:r>
              <w:r w:rsidRPr="00192B1D">
                <w:rPr>
                  <w:rFonts w:ascii="Times New Roman" w:hAnsi="Times New Roman" w:cs="Times New Roman"/>
                  <w:sz w:val="24"/>
                  <w:szCs w:val="24"/>
                </w:rPr>
                <w:instrText>BIBLIOGRAPHY</w:instrText>
              </w:r>
              <w:r w:rsidRPr="00192B1D">
                <w:rPr>
                  <w:rFonts w:ascii="Times New Roman" w:hAnsi="Times New Roman" w:cs="Times New Roman"/>
                  <w:sz w:val="24"/>
                  <w:szCs w:val="24"/>
                </w:rPr>
                <w:fldChar w:fldCharType="separate"/>
              </w:r>
              <w:r w:rsidRPr="00192B1D">
                <w:rPr>
                  <w:rFonts w:ascii="Times New Roman" w:hAnsi="Times New Roman" w:cs="Times New Roman"/>
                  <w:noProof/>
                  <w:sz w:val="24"/>
                  <w:szCs w:val="24"/>
                  <w:lang w:val="es-ES"/>
                </w:rPr>
                <w:t xml:space="preserve">Acevedo, N., Fleisman, D., Montoya, A., &amp; Mora, A. (2010). (2010). Generalidades de los ADR´s: Un estudio de caso sectorial para empresas de Colombia, México, Brasil y Chile. Universidad EAFIT. </w:t>
              </w:r>
              <w:r w:rsidRPr="00192B1D">
                <w:rPr>
                  <w:rFonts w:ascii="Times New Roman" w:hAnsi="Times New Roman" w:cs="Times New Roman"/>
                  <w:i/>
                  <w:iCs/>
                  <w:noProof/>
                  <w:sz w:val="24"/>
                  <w:szCs w:val="24"/>
                  <w:lang w:val="es-ES"/>
                </w:rPr>
                <w:t>Ecos de Economía</w:t>
              </w:r>
              <w:r w:rsidRPr="00192B1D">
                <w:rPr>
                  <w:rFonts w:ascii="Times New Roman" w:hAnsi="Times New Roman" w:cs="Times New Roman"/>
                  <w:noProof/>
                  <w:sz w:val="24"/>
                  <w:szCs w:val="24"/>
                  <w:lang w:val="es-ES"/>
                </w:rPr>
                <w:t>, 64-97. Obtenido de https://www.redalyc.org/pdf/3290/329027266004.pdf</w:t>
              </w:r>
            </w:p>
            <w:p w14:paraId="5BD97E01" w14:textId="77777777" w:rsidR="00192B1D" w:rsidRPr="00192B1D" w:rsidRDefault="00192B1D" w:rsidP="00192B1D">
              <w:pPr>
                <w:pStyle w:val="Bibliografa"/>
                <w:ind w:left="720" w:hanging="720"/>
                <w:rPr>
                  <w:rFonts w:ascii="Times New Roman" w:hAnsi="Times New Roman" w:cs="Times New Roman"/>
                  <w:noProof/>
                  <w:sz w:val="24"/>
                  <w:szCs w:val="24"/>
                  <w:lang w:val="es-ES"/>
                </w:rPr>
              </w:pPr>
              <w:r w:rsidRPr="00192B1D">
                <w:rPr>
                  <w:rFonts w:ascii="Times New Roman" w:hAnsi="Times New Roman" w:cs="Times New Roman"/>
                  <w:noProof/>
                  <w:sz w:val="24"/>
                  <w:szCs w:val="24"/>
                  <w:lang w:val="es-ES"/>
                </w:rPr>
                <w:t xml:space="preserve">Cardona, B., &amp; Londoño, H. (2013). </w:t>
              </w:r>
              <w:r w:rsidRPr="00192B1D">
                <w:rPr>
                  <w:rFonts w:ascii="Times New Roman" w:hAnsi="Times New Roman" w:cs="Times New Roman"/>
                  <w:i/>
                  <w:iCs/>
                  <w:noProof/>
                  <w:sz w:val="24"/>
                  <w:szCs w:val="24"/>
                  <w:lang w:val="es-ES"/>
                </w:rPr>
                <w:t>‘Beneficios que pueden obtener las empresas colombianas al listar en la Bolsa de Valores de Nueva York".</w:t>
              </w:r>
              <w:r w:rsidRPr="00192B1D">
                <w:rPr>
                  <w:rFonts w:ascii="Times New Roman" w:hAnsi="Times New Roman" w:cs="Times New Roman"/>
                  <w:noProof/>
                  <w:sz w:val="24"/>
                  <w:szCs w:val="24"/>
                  <w:lang w:val="es-ES"/>
                </w:rPr>
                <w:t xml:space="preserve"> Medellín: Institución Universitaria Esumer.</w:t>
              </w:r>
            </w:p>
            <w:p w14:paraId="41C3E2C0" w14:textId="77777777" w:rsidR="00192B1D" w:rsidRPr="00192B1D" w:rsidRDefault="00192B1D" w:rsidP="00192B1D">
              <w:pPr>
                <w:pStyle w:val="Bibliografa"/>
                <w:ind w:left="720" w:hanging="720"/>
                <w:rPr>
                  <w:rFonts w:ascii="Times New Roman" w:hAnsi="Times New Roman" w:cs="Times New Roman"/>
                  <w:noProof/>
                  <w:sz w:val="24"/>
                  <w:szCs w:val="24"/>
                  <w:lang w:val="es-ES"/>
                </w:rPr>
              </w:pPr>
              <w:r w:rsidRPr="00192B1D">
                <w:rPr>
                  <w:rFonts w:ascii="Times New Roman" w:hAnsi="Times New Roman" w:cs="Times New Roman"/>
                  <w:noProof/>
                  <w:sz w:val="24"/>
                  <w:szCs w:val="24"/>
                  <w:lang w:val="es-ES"/>
                </w:rPr>
                <w:t xml:space="preserve">Concha, A., &amp; Jiménez, J. (2020). </w:t>
              </w:r>
              <w:r w:rsidRPr="00192B1D">
                <w:rPr>
                  <w:rFonts w:ascii="Times New Roman" w:hAnsi="Times New Roman" w:cs="Times New Roman"/>
                  <w:i/>
                  <w:iCs/>
                  <w:noProof/>
                  <w:sz w:val="24"/>
                  <w:szCs w:val="24"/>
                  <w:lang w:val="es-ES"/>
                </w:rPr>
                <w:t>El efecto de hechos políticos colombianos en el siglo XXI sobre tres acciones colombianas: un análisis comparativo. [Trabajo de grado, Universidad EAFIT].</w:t>
              </w:r>
              <w:r w:rsidRPr="00192B1D">
                <w:rPr>
                  <w:rFonts w:ascii="Times New Roman" w:hAnsi="Times New Roman" w:cs="Times New Roman"/>
                  <w:noProof/>
                  <w:sz w:val="24"/>
                  <w:szCs w:val="24"/>
                  <w:lang w:val="es-ES"/>
                </w:rPr>
                <w:t xml:space="preserve"> Universidad EAFIT. Obtenido de https://repository.eafit.edu.co/handle/10784/16790.</w:t>
              </w:r>
            </w:p>
            <w:p w14:paraId="12DEB94B" w14:textId="77777777" w:rsidR="00192B1D" w:rsidRPr="00192B1D" w:rsidRDefault="00192B1D" w:rsidP="00192B1D">
              <w:pPr>
                <w:pStyle w:val="Bibliografa"/>
                <w:ind w:left="720" w:hanging="720"/>
                <w:rPr>
                  <w:rFonts w:ascii="Times New Roman" w:hAnsi="Times New Roman" w:cs="Times New Roman"/>
                  <w:noProof/>
                  <w:sz w:val="24"/>
                  <w:szCs w:val="24"/>
                  <w:lang w:val="es-ES"/>
                </w:rPr>
              </w:pPr>
              <w:r w:rsidRPr="00192B1D">
                <w:rPr>
                  <w:rFonts w:ascii="Times New Roman" w:hAnsi="Times New Roman" w:cs="Times New Roman"/>
                  <w:noProof/>
                  <w:sz w:val="24"/>
                  <w:szCs w:val="24"/>
                  <w:lang w:val="es-ES"/>
                </w:rPr>
                <w:t xml:space="preserve">Franco, F. (2010). ADR's caso colombiano. </w:t>
              </w:r>
              <w:r w:rsidRPr="00192B1D">
                <w:rPr>
                  <w:rFonts w:ascii="Times New Roman" w:hAnsi="Times New Roman" w:cs="Times New Roman"/>
                  <w:i/>
                  <w:iCs/>
                  <w:noProof/>
                  <w:sz w:val="24"/>
                  <w:szCs w:val="24"/>
                  <w:lang w:val="es-ES"/>
                </w:rPr>
                <w:t>Económicas CUC, 31</w:t>
              </w:r>
              <w:r w:rsidRPr="00192B1D">
                <w:rPr>
                  <w:rFonts w:ascii="Times New Roman" w:hAnsi="Times New Roman" w:cs="Times New Roman"/>
                  <w:noProof/>
                  <w:sz w:val="24"/>
                  <w:szCs w:val="24"/>
                  <w:lang w:val="es-ES"/>
                </w:rPr>
                <w:t>(31), 235-247.</w:t>
              </w:r>
            </w:p>
            <w:p w14:paraId="0577280C" w14:textId="77777777" w:rsidR="00192B1D" w:rsidRPr="00192B1D" w:rsidRDefault="00192B1D" w:rsidP="00192B1D">
              <w:pPr>
                <w:pStyle w:val="Bibliografa"/>
                <w:ind w:left="720" w:hanging="720"/>
                <w:rPr>
                  <w:rFonts w:ascii="Times New Roman" w:hAnsi="Times New Roman" w:cs="Times New Roman"/>
                  <w:noProof/>
                  <w:sz w:val="24"/>
                  <w:szCs w:val="24"/>
                  <w:lang w:val="es-ES"/>
                </w:rPr>
              </w:pPr>
              <w:r w:rsidRPr="00192B1D">
                <w:rPr>
                  <w:rFonts w:ascii="Times New Roman" w:hAnsi="Times New Roman" w:cs="Times New Roman"/>
                  <w:noProof/>
                  <w:sz w:val="24"/>
                  <w:szCs w:val="24"/>
                  <w:lang w:val="es-ES"/>
                </w:rPr>
                <w:t xml:space="preserve">González, M., Guzman, A., &amp; Trujillo, M. (2011). Colombian ADRs: Why so few? </w:t>
              </w:r>
              <w:r w:rsidRPr="00192B1D">
                <w:rPr>
                  <w:rFonts w:ascii="Times New Roman" w:hAnsi="Times New Roman" w:cs="Times New Roman"/>
                  <w:i/>
                  <w:iCs/>
                  <w:noProof/>
                  <w:sz w:val="24"/>
                  <w:szCs w:val="24"/>
                  <w:lang w:val="es-ES"/>
                </w:rPr>
                <w:t>Revista Innovar Journal, 21</w:t>
              </w:r>
              <w:r w:rsidRPr="00192B1D">
                <w:rPr>
                  <w:rFonts w:ascii="Times New Roman" w:hAnsi="Times New Roman" w:cs="Times New Roman"/>
                  <w:noProof/>
                  <w:sz w:val="24"/>
                  <w:szCs w:val="24"/>
                  <w:lang w:val="es-ES"/>
                </w:rPr>
                <w:t>(41), 69-87.</w:t>
              </w:r>
            </w:p>
            <w:p w14:paraId="474817DF" w14:textId="77777777" w:rsidR="00192B1D" w:rsidRPr="00192B1D" w:rsidRDefault="00192B1D" w:rsidP="00192B1D">
              <w:pPr>
                <w:pStyle w:val="Bibliografa"/>
                <w:ind w:left="720" w:hanging="720"/>
                <w:rPr>
                  <w:rFonts w:ascii="Times New Roman" w:hAnsi="Times New Roman" w:cs="Times New Roman"/>
                  <w:noProof/>
                  <w:sz w:val="24"/>
                  <w:szCs w:val="24"/>
                  <w:lang w:val="es-ES"/>
                </w:rPr>
              </w:pPr>
              <w:r w:rsidRPr="00192B1D">
                <w:rPr>
                  <w:rFonts w:ascii="Times New Roman" w:hAnsi="Times New Roman" w:cs="Times New Roman"/>
                  <w:noProof/>
                  <w:sz w:val="24"/>
                  <w:szCs w:val="24"/>
                  <w:lang w:val="es-ES"/>
                </w:rPr>
                <w:t xml:space="preserve">Lozada, G. (2017). </w:t>
              </w:r>
              <w:r w:rsidRPr="00192B1D">
                <w:rPr>
                  <w:rFonts w:ascii="Times New Roman" w:hAnsi="Times New Roman" w:cs="Times New Roman"/>
                  <w:i/>
                  <w:iCs/>
                  <w:noProof/>
                  <w:sz w:val="24"/>
                  <w:szCs w:val="24"/>
                  <w:lang w:val="es-ES"/>
                </w:rPr>
                <w:t>Variación de los riesgos de crédito y de mercado para una empresa que emite American Depositary Receipt (ADR): Estudio de caso para Bancolombia. [Trabajo de grado, Universidad EAFIT].</w:t>
              </w:r>
              <w:r w:rsidRPr="00192B1D">
                <w:rPr>
                  <w:rFonts w:ascii="Times New Roman" w:hAnsi="Times New Roman" w:cs="Times New Roman"/>
                  <w:noProof/>
                  <w:sz w:val="24"/>
                  <w:szCs w:val="24"/>
                  <w:lang w:val="es-ES"/>
                </w:rPr>
                <w:t xml:space="preserve"> Estudio de caso para Colombia. Obtenido de https://repository.eafit.edu.co/handle/10784/11954</w:t>
              </w:r>
            </w:p>
            <w:p w14:paraId="33C892BD" w14:textId="77777777" w:rsidR="00192B1D" w:rsidRPr="00192B1D" w:rsidRDefault="00192B1D" w:rsidP="00192B1D">
              <w:pPr>
                <w:pStyle w:val="Bibliografa"/>
                <w:ind w:left="720" w:hanging="720"/>
                <w:rPr>
                  <w:rFonts w:ascii="Times New Roman" w:hAnsi="Times New Roman" w:cs="Times New Roman"/>
                  <w:noProof/>
                  <w:sz w:val="24"/>
                  <w:szCs w:val="24"/>
                  <w:lang w:val="es-ES"/>
                </w:rPr>
              </w:pPr>
              <w:r w:rsidRPr="00192B1D">
                <w:rPr>
                  <w:rFonts w:ascii="Times New Roman" w:hAnsi="Times New Roman" w:cs="Times New Roman"/>
                  <w:noProof/>
                  <w:sz w:val="24"/>
                  <w:szCs w:val="24"/>
                  <w:lang w:val="es-ES"/>
                </w:rPr>
                <w:t xml:space="preserve">Merino, C. (2008). </w:t>
              </w:r>
              <w:r w:rsidRPr="00192B1D">
                <w:rPr>
                  <w:rFonts w:ascii="Times New Roman" w:hAnsi="Times New Roman" w:cs="Times New Roman"/>
                  <w:i/>
                  <w:iCs/>
                  <w:noProof/>
                  <w:sz w:val="24"/>
                  <w:szCs w:val="24"/>
                  <w:lang w:val="es-ES"/>
                </w:rPr>
                <w:t>Los programas de ADR´s en Colombia: Una aproximación jurídico-descriptiva y propositiva. [Trabajo de grado, Universidad EAFIT].</w:t>
              </w:r>
              <w:r w:rsidRPr="00192B1D">
                <w:rPr>
                  <w:rFonts w:ascii="Times New Roman" w:hAnsi="Times New Roman" w:cs="Times New Roman"/>
                  <w:noProof/>
                  <w:sz w:val="24"/>
                  <w:szCs w:val="24"/>
                  <w:lang w:val="es-ES"/>
                </w:rPr>
                <w:t xml:space="preserve"> Universidad EAFIT. Obtenido de https://repository.eafit.edu.co/handle/10784/441</w:t>
              </w:r>
            </w:p>
            <w:p w14:paraId="30B23680" w14:textId="77777777" w:rsidR="00192B1D" w:rsidRPr="00192B1D" w:rsidRDefault="00192B1D" w:rsidP="00192B1D">
              <w:pPr>
                <w:pStyle w:val="Bibliografa"/>
                <w:ind w:left="720" w:hanging="720"/>
                <w:rPr>
                  <w:rFonts w:ascii="Times New Roman" w:hAnsi="Times New Roman" w:cs="Times New Roman"/>
                  <w:noProof/>
                  <w:sz w:val="24"/>
                  <w:szCs w:val="24"/>
                  <w:lang w:val="es-ES"/>
                </w:rPr>
              </w:pPr>
              <w:r w:rsidRPr="00192B1D">
                <w:rPr>
                  <w:rFonts w:ascii="Times New Roman" w:hAnsi="Times New Roman" w:cs="Times New Roman"/>
                  <w:noProof/>
                  <w:sz w:val="24"/>
                  <w:szCs w:val="24"/>
                  <w:lang w:val="es-ES"/>
                </w:rPr>
                <w:t xml:space="preserve">Sampieri, R. H., Fernández, C., &amp; Baptista, M. d. (2014). </w:t>
              </w:r>
              <w:r w:rsidRPr="00192B1D">
                <w:rPr>
                  <w:rFonts w:ascii="Times New Roman" w:hAnsi="Times New Roman" w:cs="Times New Roman"/>
                  <w:i/>
                  <w:iCs/>
                  <w:noProof/>
                  <w:sz w:val="24"/>
                  <w:szCs w:val="24"/>
                  <w:lang w:val="es-ES"/>
                </w:rPr>
                <w:t>Metodología de la investigación</w:t>
              </w:r>
              <w:r w:rsidRPr="00192B1D">
                <w:rPr>
                  <w:rFonts w:ascii="Times New Roman" w:hAnsi="Times New Roman" w:cs="Times New Roman"/>
                  <w:noProof/>
                  <w:sz w:val="24"/>
                  <w:szCs w:val="24"/>
                  <w:lang w:val="es-ES"/>
                </w:rPr>
                <w:t xml:space="preserve"> (sexta edición ed.). México D. F: Mc Graw Hill.</w:t>
              </w:r>
            </w:p>
            <w:p w14:paraId="3FE19E2C" w14:textId="77777777" w:rsidR="00192B1D" w:rsidRDefault="00192B1D" w:rsidP="00192B1D">
              <w:r w:rsidRPr="00192B1D">
                <w:rPr>
                  <w:rFonts w:ascii="Times New Roman" w:hAnsi="Times New Roman" w:cs="Times New Roman"/>
                  <w:b/>
                  <w:bCs/>
                  <w:sz w:val="24"/>
                  <w:szCs w:val="24"/>
                </w:rPr>
                <w:fldChar w:fldCharType="end"/>
              </w:r>
            </w:p>
          </w:sdtContent>
        </w:sdt>
      </w:sdtContent>
    </w:sdt>
    <w:p w14:paraId="4D7DD760" w14:textId="77777777" w:rsidR="00192B1D" w:rsidRDefault="00192B1D" w:rsidP="00192B1D">
      <w:pPr>
        <w:tabs>
          <w:tab w:val="left" w:pos="2895"/>
        </w:tabs>
        <w:spacing w:line="240" w:lineRule="auto"/>
        <w:rPr>
          <w:rFonts w:ascii="Times New Roman" w:hAnsi="Times New Roman" w:cs="Times New Roman"/>
          <w:sz w:val="24"/>
          <w:szCs w:val="24"/>
          <w:lang w:val="es-ES"/>
        </w:rPr>
      </w:pPr>
    </w:p>
    <w:p w14:paraId="6FBC4C19" w14:textId="77777777" w:rsidR="007D4800" w:rsidRDefault="007D4800" w:rsidP="00D24C23">
      <w:pPr>
        <w:tabs>
          <w:tab w:val="left" w:pos="2895"/>
        </w:tabs>
        <w:spacing w:line="240" w:lineRule="auto"/>
        <w:ind w:firstLine="720"/>
        <w:rPr>
          <w:rFonts w:ascii="Times New Roman" w:hAnsi="Times New Roman" w:cs="Times New Roman"/>
          <w:sz w:val="24"/>
          <w:szCs w:val="24"/>
          <w:lang w:val="es-ES"/>
        </w:rPr>
      </w:pPr>
    </w:p>
    <w:p w14:paraId="25C04D33" w14:textId="77777777" w:rsidR="00D24C23" w:rsidRPr="00ED45BA" w:rsidRDefault="00D24C23" w:rsidP="00D24C23">
      <w:pPr>
        <w:tabs>
          <w:tab w:val="left" w:pos="2895"/>
        </w:tabs>
        <w:spacing w:line="240" w:lineRule="auto"/>
        <w:ind w:firstLine="720"/>
        <w:rPr>
          <w:rFonts w:ascii="Times New Roman" w:hAnsi="Times New Roman" w:cs="Times New Roman"/>
          <w:sz w:val="24"/>
          <w:szCs w:val="24"/>
          <w:lang w:val="es-ES"/>
        </w:rPr>
      </w:pPr>
    </w:p>
    <w:sectPr w:rsidR="00D24C23" w:rsidRPr="00ED45BA" w:rsidSect="0054437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309"/>
    <w:rsid w:val="0002486A"/>
    <w:rsid w:val="00030303"/>
    <w:rsid w:val="00036461"/>
    <w:rsid w:val="000A30FC"/>
    <w:rsid w:val="000C32F2"/>
    <w:rsid w:val="00156638"/>
    <w:rsid w:val="00192B1D"/>
    <w:rsid w:val="001A6970"/>
    <w:rsid w:val="001E33A7"/>
    <w:rsid w:val="001F6000"/>
    <w:rsid w:val="00221BE0"/>
    <w:rsid w:val="0030023B"/>
    <w:rsid w:val="00301A82"/>
    <w:rsid w:val="003306A0"/>
    <w:rsid w:val="00330F1C"/>
    <w:rsid w:val="00333E67"/>
    <w:rsid w:val="00366C0A"/>
    <w:rsid w:val="0039186E"/>
    <w:rsid w:val="00395B03"/>
    <w:rsid w:val="003D6253"/>
    <w:rsid w:val="00446120"/>
    <w:rsid w:val="004A1B5E"/>
    <w:rsid w:val="004E4B68"/>
    <w:rsid w:val="004F20CF"/>
    <w:rsid w:val="004F55DB"/>
    <w:rsid w:val="00510DD2"/>
    <w:rsid w:val="00544371"/>
    <w:rsid w:val="005479EA"/>
    <w:rsid w:val="005B3374"/>
    <w:rsid w:val="005D0A05"/>
    <w:rsid w:val="006201DC"/>
    <w:rsid w:val="00686016"/>
    <w:rsid w:val="007A3A7C"/>
    <w:rsid w:val="007D4800"/>
    <w:rsid w:val="007E19D4"/>
    <w:rsid w:val="007E24BB"/>
    <w:rsid w:val="007F4ECC"/>
    <w:rsid w:val="00803156"/>
    <w:rsid w:val="00833E84"/>
    <w:rsid w:val="00893549"/>
    <w:rsid w:val="00897CB2"/>
    <w:rsid w:val="00931E62"/>
    <w:rsid w:val="00973511"/>
    <w:rsid w:val="00992F4C"/>
    <w:rsid w:val="009A1C82"/>
    <w:rsid w:val="009A2ACB"/>
    <w:rsid w:val="009B2A18"/>
    <w:rsid w:val="009C74AB"/>
    <w:rsid w:val="009C77B5"/>
    <w:rsid w:val="009D5AD2"/>
    <w:rsid w:val="00A44E5C"/>
    <w:rsid w:val="00AA7AAA"/>
    <w:rsid w:val="00AB6E44"/>
    <w:rsid w:val="00AC6A4B"/>
    <w:rsid w:val="00B16952"/>
    <w:rsid w:val="00B20DEF"/>
    <w:rsid w:val="00B32FB9"/>
    <w:rsid w:val="00B63DE7"/>
    <w:rsid w:val="00BB2C68"/>
    <w:rsid w:val="00BC0FD7"/>
    <w:rsid w:val="00BD2357"/>
    <w:rsid w:val="00BF2451"/>
    <w:rsid w:val="00C475F9"/>
    <w:rsid w:val="00C65502"/>
    <w:rsid w:val="00C75A41"/>
    <w:rsid w:val="00C77DDB"/>
    <w:rsid w:val="00CF0AA2"/>
    <w:rsid w:val="00CF31DF"/>
    <w:rsid w:val="00D05957"/>
    <w:rsid w:val="00D16354"/>
    <w:rsid w:val="00D24C23"/>
    <w:rsid w:val="00D32309"/>
    <w:rsid w:val="00D470BD"/>
    <w:rsid w:val="00D87378"/>
    <w:rsid w:val="00E12859"/>
    <w:rsid w:val="00E17D02"/>
    <w:rsid w:val="00E27B4A"/>
    <w:rsid w:val="00E73479"/>
    <w:rsid w:val="00E91BFE"/>
    <w:rsid w:val="00EB13A7"/>
    <w:rsid w:val="00ED325B"/>
    <w:rsid w:val="00ED45BA"/>
    <w:rsid w:val="00EF437C"/>
    <w:rsid w:val="00F00197"/>
    <w:rsid w:val="00F01597"/>
    <w:rsid w:val="00F83840"/>
    <w:rsid w:val="00F86EBE"/>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34CC2"/>
  <w15:chartTrackingRefBased/>
  <w15:docId w15:val="{5B9E79EF-F18B-4A46-9C31-9DE7EAA56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192B1D"/>
    <w:pPr>
      <w:keepNext/>
      <w:keepLines/>
      <w:spacing w:before="240" w:after="0"/>
      <w:outlineLvl w:val="0"/>
    </w:pPr>
    <w:rPr>
      <w:rFonts w:asciiTheme="majorHAnsi" w:eastAsiaTheme="majorEastAsia" w:hAnsiTheme="majorHAnsi" w:cstheme="majorBidi"/>
      <w:color w:val="2F5496" w:themeColor="accent1" w:themeShade="BF"/>
      <w:sz w:val="32"/>
      <w:szCs w:val="32"/>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Descripcin">
    <w:name w:val="caption"/>
    <w:basedOn w:val="Normal"/>
    <w:next w:val="Normal"/>
    <w:uiPriority w:val="35"/>
    <w:unhideWhenUsed/>
    <w:qFormat/>
    <w:rsid w:val="00333E67"/>
    <w:pPr>
      <w:spacing w:after="200" w:line="240" w:lineRule="auto"/>
    </w:pPr>
    <w:rPr>
      <w:i/>
      <w:iCs/>
      <w:color w:val="44546A" w:themeColor="text2"/>
      <w:sz w:val="18"/>
      <w:szCs w:val="18"/>
    </w:rPr>
  </w:style>
  <w:style w:type="character" w:customStyle="1" w:styleId="Ttulo1Car">
    <w:name w:val="Título 1 Car"/>
    <w:basedOn w:val="Fuentedeprrafopredeter"/>
    <w:link w:val="Ttulo1"/>
    <w:uiPriority w:val="9"/>
    <w:rsid w:val="00192B1D"/>
    <w:rPr>
      <w:rFonts w:asciiTheme="majorHAnsi" w:eastAsiaTheme="majorEastAsia" w:hAnsiTheme="majorHAnsi" w:cstheme="majorBidi"/>
      <w:color w:val="2F5496" w:themeColor="accent1" w:themeShade="BF"/>
      <w:sz w:val="32"/>
      <w:szCs w:val="32"/>
      <w:lang w:eastAsia="es-CO"/>
    </w:rPr>
  </w:style>
  <w:style w:type="paragraph" w:styleId="Bibliografa">
    <w:name w:val="Bibliography"/>
    <w:basedOn w:val="Normal"/>
    <w:next w:val="Normal"/>
    <w:uiPriority w:val="37"/>
    <w:unhideWhenUsed/>
    <w:rsid w:val="00192B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073460">
      <w:bodyDiv w:val="1"/>
      <w:marLeft w:val="0"/>
      <w:marRight w:val="0"/>
      <w:marTop w:val="0"/>
      <w:marBottom w:val="0"/>
      <w:divBdr>
        <w:top w:val="none" w:sz="0" w:space="0" w:color="auto"/>
        <w:left w:val="none" w:sz="0" w:space="0" w:color="auto"/>
        <w:bottom w:val="none" w:sz="0" w:space="0" w:color="auto"/>
        <w:right w:val="none" w:sz="0" w:space="0" w:color="auto"/>
      </w:divBdr>
    </w:div>
    <w:div w:id="414590394">
      <w:bodyDiv w:val="1"/>
      <w:marLeft w:val="0"/>
      <w:marRight w:val="0"/>
      <w:marTop w:val="0"/>
      <w:marBottom w:val="0"/>
      <w:divBdr>
        <w:top w:val="none" w:sz="0" w:space="0" w:color="auto"/>
        <w:left w:val="none" w:sz="0" w:space="0" w:color="auto"/>
        <w:bottom w:val="none" w:sz="0" w:space="0" w:color="auto"/>
        <w:right w:val="none" w:sz="0" w:space="0" w:color="auto"/>
      </w:divBdr>
    </w:div>
    <w:div w:id="572081518">
      <w:bodyDiv w:val="1"/>
      <w:marLeft w:val="0"/>
      <w:marRight w:val="0"/>
      <w:marTop w:val="0"/>
      <w:marBottom w:val="0"/>
      <w:divBdr>
        <w:top w:val="none" w:sz="0" w:space="0" w:color="auto"/>
        <w:left w:val="none" w:sz="0" w:space="0" w:color="auto"/>
        <w:bottom w:val="none" w:sz="0" w:space="0" w:color="auto"/>
        <w:right w:val="none" w:sz="0" w:space="0" w:color="auto"/>
      </w:divBdr>
    </w:div>
    <w:div w:id="1093084467">
      <w:bodyDiv w:val="1"/>
      <w:marLeft w:val="0"/>
      <w:marRight w:val="0"/>
      <w:marTop w:val="0"/>
      <w:marBottom w:val="0"/>
      <w:divBdr>
        <w:top w:val="none" w:sz="0" w:space="0" w:color="auto"/>
        <w:left w:val="none" w:sz="0" w:space="0" w:color="auto"/>
        <w:bottom w:val="none" w:sz="0" w:space="0" w:color="auto"/>
        <w:right w:val="none" w:sz="0" w:space="0" w:color="auto"/>
      </w:divBdr>
    </w:div>
    <w:div w:id="1216817550">
      <w:bodyDiv w:val="1"/>
      <w:marLeft w:val="0"/>
      <w:marRight w:val="0"/>
      <w:marTop w:val="0"/>
      <w:marBottom w:val="0"/>
      <w:divBdr>
        <w:top w:val="none" w:sz="0" w:space="0" w:color="auto"/>
        <w:left w:val="none" w:sz="0" w:space="0" w:color="auto"/>
        <w:bottom w:val="none" w:sz="0" w:space="0" w:color="auto"/>
        <w:right w:val="none" w:sz="0" w:space="0" w:color="auto"/>
      </w:divBdr>
    </w:div>
    <w:div w:id="1270431758">
      <w:bodyDiv w:val="1"/>
      <w:marLeft w:val="0"/>
      <w:marRight w:val="0"/>
      <w:marTop w:val="0"/>
      <w:marBottom w:val="0"/>
      <w:divBdr>
        <w:top w:val="none" w:sz="0" w:space="0" w:color="auto"/>
        <w:left w:val="none" w:sz="0" w:space="0" w:color="auto"/>
        <w:bottom w:val="none" w:sz="0" w:space="0" w:color="auto"/>
        <w:right w:val="none" w:sz="0" w:space="0" w:color="auto"/>
      </w:divBdr>
    </w:div>
    <w:div w:id="1411923593">
      <w:bodyDiv w:val="1"/>
      <w:marLeft w:val="0"/>
      <w:marRight w:val="0"/>
      <w:marTop w:val="0"/>
      <w:marBottom w:val="0"/>
      <w:divBdr>
        <w:top w:val="none" w:sz="0" w:space="0" w:color="auto"/>
        <w:left w:val="none" w:sz="0" w:space="0" w:color="auto"/>
        <w:bottom w:val="none" w:sz="0" w:space="0" w:color="auto"/>
        <w:right w:val="none" w:sz="0" w:space="0" w:color="auto"/>
      </w:divBdr>
    </w:div>
    <w:div w:id="1869025680">
      <w:bodyDiv w:val="1"/>
      <w:marLeft w:val="0"/>
      <w:marRight w:val="0"/>
      <w:marTop w:val="0"/>
      <w:marBottom w:val="0"/>
      <w:divBdr>
        <w:top w:val="none" w:sz="0" w:space="0" w:color="auto"/>
        <w:left w:val="none" w:sz="0" w:space="0" w:color="auto"/>
        <w:bottom w:val="none" w:sz="0" w:space="0" w:color="auto"/>
        <w:right w:val="none" w:sz="0" w:space="0" w:color="auto"/>
      </w:divBdr>
    </w:div>
    <w:div w:id="1931889632">
      <w:bodyDiv w:val="1"/>
      <w:marLeft w:val="0"/>
      <w:marRight w:val="0"/>
      <w:marTop w:val="0"/>
      <w:marBottom w:val="0"/>
      <w:divBdr>
        <w:top w:val="none" w:sz="0" w:space="0" w:color="auto"/>
        <w:left w:val="none" w:sz="0" w:space="0" w:color="auto"/>
        <w:bottom w:val="none" w:sz="0" w:space="0" w:color="auto"/>
        <w:right w:val="none" w:sz="0" w:space="0" w:color="auto"/>
      </w:divBdr>
    </w:div>
    <w:div w:id="193412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Gon111</b:Tag>
    <b:SourceType>JournalArticle</b:SourceType>
    <b:Guid>{4613FCAA-3808-463C-8080-73DA18000DB6}</b:Guid>
    <b:Author>
      <b:Author>
        <b:NameList>
          <b:Person>
            <b:Last>González</b:Last>
            <b:First>Maximiliano</b:First>
          </b:Person>
          <b:Person>
            <b:Last>Guzman</b:Last>
            <b:First>Alexander</b:First>
          </b:Person>
          <b:Person>
            <b:Last>Trujillo</b:Last>
            <b:First>María</b:First>
          </b:Person>
        </b:NameList>
      </b:Author>
    </b:Author>
    <b:Title>Colombian ADRs: Why so few?</b:Title>
    <b:JournalName>Revista Innovar Journal</b:JournalName>
    <b:Year>2011</b:Year>
    <b:Pages>69-87</b:Pages>
    <b:Volume>21</b:Volume>
    <b:Issue>41</b:Issue>
    <b:RefOrder>1</b:RefOrder>
  </b:Source>
  <b:Source>
    <b:Tag>Sam14</b:Tag>
    <b:SourceType>Book</b:SourceType>
    <b:Guid>{385123FF-256D-4D9A-988F-B0C16B14E1EE}</b:Guid>
    <b:Author>
      <b:Author>
        <b:NameList>
          <b:Person>
            <b:Last>Sampieri</b:Last>
            <b:First>Roberto</b:First>
            <b:Middle>Hernández</b:Middle>
          </b:Person>
          <b:Person>
            <b:Last>Fernández</b:Last>
            <b:First>Collado</b:First>
          </b:Person>
          <b:Person>
            <b:Last>Baptista</b:Last>
            <b:First>Maria</b:First>
            <b:Middle>del Pilar</b:Middle>
          </b:Person>
        </b:NameList>
      </b:Author>
    </b:Author>
    <b:Title>Metodología de la investigación</b:Title>
    <b:Year>2014</b:Year>
    <b:City>México D. F</b:City>
    <b:Publisher>Mc Graw Hill</b:Publisher>
    <b:Edition>sexta edición</b:Edition>
    <b:RefOrder>2</b:RefOrder>
  </b:Source>
  <b:Source>
    <b:Tag>Con205</b:Tag>
    <b:SourceType>Report</b:SourceType>
    <b:Guid>{58A6928C-1747-42E2-9054-8AD0E6F3E426}</b:Guid>
    <b:Title>El efecto de hechos políticos colombianos en el siglo XXI sobre tres acciones colombianas: un análisis comparativo. [Trabajo de grado, Universidad EAFIT].</b:Title>
    <b:Year>2020</b:Year>
    <b:Author>
      <b:Author>
        <b:NameList>
          <b:Person>
            <b:Last>Concha</b:Last>
            <b:First>A</b:First>
          </b:Person>
          <b:Person>
            <b:Last>Jiménez</b:Last>
            <b:First>J</b:First>
          </b:Person>
        </b:NameList>
      </b:Author>
    </b:Author>
    <b:Publisher>Universidad EAFIT</b:Publisher>
    <b:URL>https://repository.eafit.edu.co/handle/10784/16790.</b:URL>
    <b:ThesisType>Trabajo de gradO</b:ThesisType>
    <b:RefOrder>3</b:RefOrder>
  </b:Source>
  <b:Source>
    <b:Tag>GLo17</b:Tag>
    <b:SourceType>Report</b:SourceType>
    <b:Guid>{6688A1D6-559A-4E37-8D12-1ED1CB37DA23}</b:Guid>
    <b:Title>Variación de los riesgos de crédito y de mercado para una empresa que emite American Depositary Receipt (ADR): Estudio de caso para Bancolombia. [Trabajo de grado, Universidad EAFIT].</b:Title>
    <b:Year>2017</b:Year>
    <b:Author>
      <b:Author>
        <b:NameList>
          <b:Person>
            <b:Last>Lozada</b:Last>
            <b:First>G</b:First>
          </b:Person>
        </b:NameList>
      </b:Author>
    </b:Author>
    <b:ThesisType>Estudio de caso para Colombia</b:ThesisType>
    <b:URL>https://repository.eafit.edu.co/handle/10784/11954</b:URL>
    <b:RefOrder>4</b:RefOrder>
  </b:Source>
  <b:Source>
    <b:Tag>CMe08</b:Tag>
    <b:SourceType>Report</b:SourceType>
    <b:Guid>{9C7F0D5B-F3BE-465A-9B7A-55E6238D90EE}</b:Guid>
    <b:Title>Los programas de ADR´s en Colombia: Una aproximación jurídico-descriptiva y propositiva. [Trabajo de grado, Universidad EAFIT].</b:Title>
    <b:Year>2008</b:Year>
    <b:Publisher>Universidad EAFIT</b:Publisher>
    <b:Author>
      <b:Author>
        <b:NameList>
          <b:Person>
            <b:Last>Merino</b:Last>
            <b:First>C</b:First>
          </b:Person>
        </b:NameList>
      </b:Author>
    </b:Author>
    <b:ThesisType>Trabajo de grado</b:ThesisType>
    <b:URL>https://repository.eafit.edu.co/handle/10784/441</b:URL>
    <b:RefOrder>5</b:RefOrder>
  </b:Source>
  <b:Source>
    <b:Tag>Fra101</b:Tag>
    <b:SourceType>JournalArticle</b:SourceType>
    <b:Guid>{9FE100CE-3442-456E-A429-87F5C25F65E9}</b:Guid>
    <b:Author>
      <b:Author>
        <b:NameList>
          <b:Person>
            <b:Last>Franco</b:Last>
            <b:First>Fernando</b:First>
          </b:Person>
        </b:NameList>
      </b:Author>
    </b:Author>
    <b:Title>ADR's caso colombiano</b:Title>
    <b:Year>2010</b:Year>
    <b:JournalName>Económicas CUC</b:JournalName>
    <b:Pages>235-247</b:Pages>
    <b:Volume>31</b:Volume>
    <b:Issue>31</b:Issue>
    <b:RefOrder>6</b:RefOrder>
  </b:Source>
  <b:Source>
    <b:Tag>Nic10</b:Tag>
    <b:SourceType>JournalArticle</b:SourceType>
    <b:Guid>{7889CC3B-975C-4562-B14F-C55B962CB60B}</b:Guid>
    <b:Title> (2010). Generalidades de los ADR´s: Un estudio de caso sectorial para empresas de Colombia, México, Brasil y Chile. Universidad EAFIT.</b:Title>
    <b:JournalName>Ecos de Economía</b:JournalName>
    <b:Year>2010</b:Year>
    <b:Pages>64-97</b:Pages>
    <b:Author>
      <b:Author>
        <b:NameList>
          <b:Person>
            <b:Last>Acevedo</b:Last>
            <b:First>Nicolas</b:First>
          </b:Person>
          <b:Person>
            <b:Last>Fleisman</b:Last>
            <b:First>Daniela</b:First>
          </b:Person>
          <b:Person>
            <b:Last>Montoya</b:Last>
            <b:First>Angelica</b:First>
          </b:Person>
          <b:Person>
            <b:Last>Mora</b:Last>
            <b:First>Andrés</b:First>
          </b:Person>
        </b:NameList>
      </b:Author>
    </b:Author>
    <b:URL>https://www.redalyc.org/pdf/3290/329027266004.pdf</b:URL>
    <b:RefOrder>7</b:RefOrder>
  </b:Source>
  <b:Source>
    <b:Tag>Car132</b:Tag>
    <b:SourceType>Report</b:SourceType>
    <b:Guid>{63D445CE-827C-45AD-A839-F5648F6CC9D0}</b:Guid>
    <b:Author>
      <b:Author>
        <b:NameList>
          <b:Person>
            <b:Last>Cardona</b:Last>
            <b:First>Bibiana</b:First>
          </b:Person>
          <b:Person>
            <b:Last>Londoño</b:Last>
            <b:First>Hermavel</b:First>
          </b:Person>
        </b:NameList>
      </b:Author>
    </b:Author>
    <b:Title>‘Beneficios que pueden obtener las empresas colombianas al listar en la Bolsa de Valores de Nueva York"</b:Title>
    <b:Year>2013</b:Year>
    <b:Publisher>Institución Universitaria Esumer</b:Publisher>
    <b:City>Medellín</b:City>
    <b:RefOrder>8</b:RefOrder>
  </b:Source>
</b:Sources>
</file>

<file path=customXml/itemProps1.xml><?xml version="1.0" encoding="utf-8"?>
<ds:datastoreItem xmlns:ds="http://schemas.openxmlformats.org/officeDocument/2006/customXml" ds:itemID="{8903FE24-CCCE-4F4F-B99E-35F847996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4512</Words>
  <Characters>24822</Characters>
  <Application>Microsoft Office Word</Application>
  <DocSecurity>0</DocSecurity>
  <Lines>206</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Marcela Rosero Ramos</dc:creator>
  <cp:keywords/>
  <dc:description/>
  <cp:lastModifiedBy>Jose Arenas Arenas</cp:lastModifiedBy>
  <cp:revision>4</cp:revision>
  <dcterms:created xsi:type="dcterms:W3CDTF">2023-01-20T02:09:00Z</dcterms:created>
  <dcterms:modified xsi:type="dcterms:W3CDTF">2023-01-23T04:45:00Z</dcterms:modified>
</cp:coreProperties>
</file>